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1E67A" w14:textId="77777777" w:rsidR="004E3924" w:rsidRDefault="004E3924">
      <w:pPr>
        <w:pBdr>
          <w:top w:val="nil"/>
          <w:left w:val="nil"/>
          <w:bottom w:val="nil"/>
          <w:right w:val="nil"/>
          <w:between w:val="nil"/>
        </w:pBdr>
        <w:rPr>
          <w:rFonts w:ascii="Calibri" w:eastAsia="Calibri" w:hAnsi="Calibri" w:cs="Calibri"/>
          <w:color w:val="000000"/>
        </w:rPr>
      </w:pPr>
    </w:p>
    <w:p w14:paraId="6B837E54" w14:textId="77777777" w:rsidR="004E3924" w:rsidRDefault="00000000">
      <w:pPr>
        <w:pBdr>
          <w:top w:val="nil"/>
          <w:left w:val="nil"/>
          <w:bottom w:val="nil"/>
          <w:right w:val="nil"/>
          <w:between w:val="nil"/>
        </w:pBdr>
        <w:spacing w:after="240"/>
        <w:rPr>
          <w:rFonts w:ascii="Calibri" w:eastAsia="Calibri" w:hAnsi="Calibri" w:cs="Calibri"/>
          <w:color w:val="000000"/>
          <w:sz w:val="32"/>
          <w:szCs w:val="32"/>
        </w:rPr>
      </w:pPr>
      <w:r>
        <w:rPr>
          <w:rFonts w:ascii="Calibri" w:eastAsia="Calibri" w:hAnsi="Calibri" w:cs="Calibri"/>
          <w:b/>
          <w:color w:val="000000"/>
          <w:sz w:val="32"/>
          <w:szCs w:val="32"/>
        </w:rPr>
        <w:t xml:space="preserve">Kategorie C8 - </w:t>
      </w:r>
      <w:proofErr w:type="spellStart"/>
      <w:r>
        <w:rPr>
          <w:rFonts w:ascii="Calibri" w:eastAsia="Calibri" w:hAnsi="Calibri" w:cs="Calibri"/>
          <w:b/>
          <w:color w:val="000000"/>
          <w:sz w:val="32"/>
          <w:szCs w:val="32"/>
        </w:rPr>
        <w:t>Kart</w:t>
      </w:r>
      <w:proofErr w:type="spellEnd"/>
      <w:r>
        <w:rPr>
          <w:rFonts w:ascii="Calibri" w:eastAsia="Calibri" w:hAnsi="Calibri" w:cs="Calibri"/>
          <w:b/>
          <w:color w:val="000000"/>
          <w:sz w:val="32"/>
          <w:szCs w:val="32"/>
        </w:rPr>
        <w:t xml:space="preserve"> - 16-99 Jahre</w:t>
      </w:r>
    </w:p>
    <w:p w14:paraId="2E925C92" w14:textId="77777777" w:rsidR="004E3924" w:rsidRDefault="00000000">
      <w:pPr>
        <w:pBdr>
          <w:top w:val="nil"/>
          <w:left w:val="nil"/>
          <w:bottom w:val="nil"/>
          <w:right w:val="nil"/>
          <w:between w:val="nil"/>
        </w:pBdr>
        <w:spacing w:before="240" w:after="120"/>
        <w:rPr>
          <w:rFonts w:ascii="Calibri" w:eastAsia="Calibri" w:hAnsi="Calibri" w:cs="Calibri"/>
          <w:color w:val="000000"/>
          <w:sz w:val="28"/>
          <w:szCs w:val="28"/>
        </w:rPr>
      </w:pPr>
      <w:r>
        <w:rPr>
          <w:rFonts w:ascii="Calibri" w:eastAsia="Calibri" w:hAnsi="Calibri" w:cs="Calibri"/>
          <w:b/>
          <w:color w:val="000000"/>
          <w:sz w:val="28"/>
          <w:szCs w:val="28"/>
        </w:rPr>
        <w:t xml:space="preserve">1. Definition </w:t>
      </w:r>
    </w:p>
    <w:p w14:paraId="3FF610D9" w14:textId="77777777" w:rsidR="004E3924" w:rsidRDefault="00000000">
      <w:pPr>
        <w:pBdr>
          <w:top w:val="nil"/>
          <w:left w:val="nil"/>
          <w:bottom w:val="nil"/>
          <w:right w:val="nil"/>
          <w:between w:val="nil"/>
        </w:pBdr>
        <w:spacing w:after="200"/>
        <w:ind w:left="227" w:hanging="227"/>
        <w:jc w:val="both"/>
        <w:rPr>
          <w:rFonts w:ascii="Calibri" w:eastAsia="Calibri" w:hAnsi="Calibri" w:cs="Calibri"/>
          <w:color w:val="000000"/>
          <w:sz w:val="23"/>
          <w:szCs w:val="23"/>
        </w:rPr>
      </w:pPr>
      <w:r>
        <w:rPr>
          <w:rFonts w:ascii="Calibri" w:eastAsia="Calibri" w:hAnsi="Calibri" w:cs="Calibri"/>
          <w:color w:val="000000"/>
          <w:sz w:val="23"/>
          <w:szCs w:val="23"/>
        </w:rPr>
        <w:t xml:space="preserve">A: Die Kategorie C8 lässt Fahrzeuge zu, deren Chassis/Rahmen aus dem </w:t>
      </w:r>
      <w:proofErr w:type="spellStart"/>
      <w:r>
        <w:rPr>
          <w:rFonts w:ascii="Calibri" w:eastAsia="Calibri" w:hAnsi="Calibri" w:cs="Calibri"/>
          <w:color w:val="000000"/>
          <w:sz w:val="23"/>
          <w:szCs w:val="23"/>
        </w:rPr>
        <w:t>Motorkart</w:t>
      </w:r>
      <w:proofErr w:type="spellEnd"/>
      <w:r>
        <w:rPr>
          <w:rFonts w:ascii="Calibri" w:eastAsia="Calibri" w:hAnsi="Calibri" w:cs="Calibri"/>
          <w:color w:val="000000"/>
          <w:sz w:val="23"/>
          <w:szCs w:val="23"/>
        </w:rPr>
        <w:t>-Rennsport stammen und nachfolgenden Punkt B sowie die Bestimmungen des vorliegenden Reglements befolgen.</w:t>
      </w:r>
    </w:p>
    <w:p w14:paraId="5DF13D6E" w14:textId="77777777" w:rsidR="004E3924" w:rsidRDefault="00000000">
      <w:pPr>
        <w:pBdr>
          <w:top w:val="nil"/>
          <w:left w:val="nil"/>
          <w:bottom w:val="nil"/>
          <w:right w:val="nil"/>
          <w:between w:val="nil"/>
        </w:pBdr>
        <w:spacing w:after="200"/>
        <w:ind w:left="227" w:hanging="227"/>
        <w:jc w:val="both"/>
        <w:rPr>
          <w:rFonts w:ascii="Calibri" w:eastAsia="Calibri" w:hAnsi="Calibri" w:cs="Calibri"/>
          <w:color w:val="000000"/>
          <w:sz w:val="23"/>
          <w:szCs w:val="23"/>
        </w:rPr>
      </w:pPr>
      <w:r>
        <w:rPr>
          <w:rFonts w:ascii="Calibri" w:eastAsia="Calibri" w:hAnsi="Calibri" w:cs="Calibri"/>
          <w:color w:val="000000"/>
          <w:sz w:val="23"/>
          <w:szCs w:val="23"/>
        </w:rPr>
        <w:t>B: Kopien von Einzelteilen sind nicht zulässig. Es sind nur Bauteile von handelsregistrierten Firmen welche einerseits für ihre Produkte haften, und andererseits komplette Fahrzeuge und/oder deren Einzelteile auf dem Markt für Jedermann anbieten.</w:t>
      </w:r>
    </w:p>
    <w:p w14:paraId="0ACE94AF"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2. Abmessungen </w:t>
      </w:r>
    </w:p>
    <w:tbl>
      <w:tblPr>
        <w:tblStyle w:val="a"/>
        <w:tblW w:w="7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2069"/>
        <w:gridCol w:w="2070"/>
      </w:tblGrid>
      <w:tr w:rsidR="004E3924" w14:paraId="0F83F6D0" w14:textId="77777777">
        <w:trPr>
          <w:trHeight w:val="120"/>
        </w:trPr>
        <w:tc>
          <w:tcPr>
            <w:tcW w:w="3742" w:type="dxa"/>
            <w:shd w:val="clear" w:color="auto" w:fill="C6D9F1"/>
          </w:tcPr>
          <w:p w14:paraId="322AAA62"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Radstand </w:t>
            </w:r>
          </w:p>
        </w:tc>
        <w:tc>
          <w:tcPr>
            <w:tcW w:w="2069" w:type="dxa"/>
          </w:tcPr>
          <w:p w14:paraId="29D73CE8"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Min 1000 mm</w:t>
            </w:r>
          </w:p>
        </w:tc>
        <w:tc>
          <w:tcPr>
            <w:tcW w:w="2070" w:type="dxa"/>
          </w:tcPr>
          <w:p w14:paraId="414858D0"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Max 1100 mm</w:t>
            </w:r>
          </w:p>
        </w:tc>
      </w:tr>
      <w:tr w:rsidR="004E3924" w14:paraId="27209851" w14:textId="77777777">
        <w:trPr>
          <w:trHeight w:val="120"/>
        </w:trPr>
        <w:tc>
          <w:tcPr>
            <w:tcW w:w="3742" w:type="dxa"/>
            <w:shd w:val="clear" w:color="auto" w:fill="C6D9F1"/>
          </w:tcPr>
          <w:p w14:paraId="54A03578"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Breite vorne </w:t>
            </w:r>
          </w:p>
        </w:tc>
        <w:tc>
          <w:tcPr>
            <w:tcW w:w="2069" w:type="dxa"/>
          </w:tcPr>
          <w:p w14:paraId="2130275E"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Min 1000 mm</w:t>
            </w:r>
          </w:p>
        </w:tc>
        <w:tc>
          <w:tcPr>
            <w:tcW w:w="2070" w:type="dxa"/>
          </w:tcPr>
          <w:p w14:paraId="4F6314C5"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Max 1200 mm</w:t>
            </w:r>
          </w:p>
        </w:tc>
      </w:tr>
      <w:tr w:rsidR="004E3924" w14:paraId="3FBC0BFE" w14:textId="77777777">
        <w:trPr>
          <w:trHeight w:val="120"/>
        </w:trPr>
        <w:tc>
          <w:tcPr>
            <w:tcW w:w="3742" w:type="dxa"/>
            <w:shd w:val="clear" w:color="auto" w:fill="C6D9F1"/>
          </w:tcPr>
          <w:p w14:paraId="28803198"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Breite hinten </w:t>
            </w:r>
          </w:p>
        </w:tc>
        <w:tc>
          <w:tcPr>
            <w:tcW w:w="2069" w:type="dxa"/>
          </w:tcPr>
          <w:p w14:paraId="58FB69B6"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Min 1100 mm</w:t>
            </w:r>
          </w:p>
        </w:tc>
        <w:tc>
          <w:tcPr>
            <w:tcW w:w="2070" w:type="dxa"/>
          </w:tcPr>
          <w:p w14:paraId="40134E9F"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Max 1400 mm</w:t>
            </w:r>
          </w:p>
        </w:tc>
      </w:tr>
      <w:tr w:rsidR="004E3924" w14:paraId="64E46EC0" w14:textId="77777777">
        <w:trPr>
          <w:trHeight w:val="120"/>
        </w:trPr>
        <w:tc>
          <w:tcPr>
            <w:tcW w:w="3742" w:type="dxa"/>
            <w:shd w:val="clear" w:color="auto" w:fill="C6D9F1"/>
          </w:tcPr>
          <w:p w14:paraId="2C24EE22"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Bodenfreiheit </w:t>
            </w:r>
          </w:p>
        </w:tc>
        <w:tc>
          <w:tcPr>
            <w:tcW w:w="2069" w:type="dxa"/>
          </w:tcPr>
          <w:p w14:paraId="1FD0668B"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Min 20 mm </w:t>
            </w:r>
          </w:p>
        </w:tc>
        <w:tc>
          <w:tcPr>
            <w:tcW w:w="2070" w:type="dxa"/>
          </w:tcPr>
          <w:p w14:paraId="18FAB452"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Max 80 mm </w:t>
            </w:r>
          </w:p>
        </w:tc>
      </w:tr>
      <w:tr w:rsidR="004E3924" w14:paraId="6754A66D" w14:textId="77777777">
        <w:trPr>
          <w:trHeight w:val="120"/>
        </w:trPr>
        <w:tc>
          <w:tcPr>
            <w:tcW w:w="3742" w:type="dxa"/>
            <w:shd w:val="clear" w:color="auto" w:fill="C6D9F1"/>
          </w:tcPr>
          <w:p w14:paraId="2A79A819"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Felgen </w:t>
            </w:r>
          </w:p>
        </w:tc>
        <w:tc>
          <w:tcPr>
            <w:tcW w:w="4139" w:type="dxa"/>
            <w:gridSpan w:val="2"/>
          </w:tcPr>
          <w:p w14:paraId="18329396"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5 ‘’ </w:t>
            </w:r>
          </w:p>
        </w:tc>
      </w:tr>
      <w:tr w:rsidR="004E3924" w14:paraId="5812E3B0" w14:textId="77777777">
        <w:trPr>
          <w:trHeight w:val="120"/>
        </w:trPr>
        <w:tc>
          <w:tcPr>
            <w:tcW w:w="3742" w:type="dxa"/>
            <w:shd w:val="clear" w:color="auto" w:fill="C6D9F1"/>
          </w:tcPr>
          <w:p w14:paraId="358181A2"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Kugellager</w:t>
            </w:r>
          </w:p>
        </w:tc>
        <w:tc>
          <w:tcPr>
            <w:tcW w:w="4139" w:type="dxa"/>
            <w:gridSpan w:val="2"/>
          </w:tcPr>
          <w:p w14:paraId="4456FC1E"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Innen-Ø min 17 mm </w:t>
            </w:r>
          </w:p>
        </w:tc>
      </w:tr>
      <w:tr w:rsidR="004E3924" w14:paraId="06D9F875" w14:textId="77777777">
        <w:trPr>
          <w:trHeight w:val="120"/>
        </w:trPr>
        <w:tc>
          <w:tcPr>
            <w:tcW w:w="3742" w:type="dxa"/>
            <w:shd w:val="clear" w:color="auto" w:fill="C6D9F1"/>
          </w:tcPr>
          <w:p w14:paraId="67B5BA24"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Reifen vorne (Slick)</w:t>
            </w:r>
          </w:p>
        </w:tc>
        <w:tc>
          <w:tcPr>
            <w:tcW w:w="4139" w:type="dxa"/>
            <w:gridSpan w:val="2"/>
          </w:tcPr>
          <w:p w14:paraId="41B2E3CD"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10 x 4.50-5 / 10 x 4.60-5</w:t>
            </w:r>
          </w:p>
        </w:tc>
      </w:tr>
      <w:tr w:rsidR="004E3924" w14:paraId="56936C8A" w14:textId="77777777">
        <w:trPr>
          <w:trHeight w:val="120"/>
        </w:trPr>
        <w:tc>
          <w:tcPr>
            <w:tcW w:w="3742" w:type="dxa"/>
            <w:shd w:val="clear" w:color="auto" w:fill="C6D9F1"/>
          </w:tcPr>
          <w:p w14:paraId="731D50D4"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Reifen hinten (Slick)</w:t>
            </w:r>
          </w:p>
        </w:tc>
        <w:tc>
          <w:tcPr>
            <w:tcW w:w="4139" w:type="dxa"/>
            <w:gridSpan w:val="2"/>
          </w:tcPr>
          <w:p w14:paraId="46B2DB49"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11 x 7.10-5 / 11 x 6.00-5 / 11 x 5.00-5</w:t>
            </w:r>
          </w:p>
        </w:tc>
      </w:tr>
      <w:tr w:rsidR="004E3924" w14:paraId="68020E61" w14:textId="77777777">
        <w:trPr>
          <w:trHeight w:val="120"/>
        </w:trPr>
        <w:tc>
          <w:tcPr>
            <w:tcW w:w="3742" w:type="dxa"/>
            <w:tcBorders>
              <w:top w:val="single" w:sz="4" w:space="0" w:color="000000"/>
              <w:left w:val="single" w:sz="4" w:space="0" w:color="000000"/>
              <w:bottom w:val="single" w:sz="4" w:space="0" w:color="000000"/>
              <w:right w:val="single" w:sz="4" w:space="0" w:color="000000"/>
            </w:tcBorders>
            <w:shd w:val="clear" w:color="auto" w:fill="C6D9F1"/>
          </w:tcPr>
          <w:p w14:paraId="70B7CEFC" w14:textId="77777777" w:rsidR="004E3924" w:rsidRDefault="00000000">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color w:val="000000"/>
                <w:sz w:val="23"/>
                <w:szCs w:val="23"/>
              </w:rPr>
              <w:t>Reifen vorne (Regen)</w:t>
            </w:r>
          </w:p>
        </w:tc>
        <w:tc>
          <w:tcPr>
            <w:tcW w:w="4139" w:type="dxa"/>
            <w:gridSpan w:val="2"/>
            <w:tcBorders>
              <w:top w:val="single" w:sz="4" w:space="0" w:color="000000"/>
              <w:left w:val="single" w:sz="4" w:space="0" w:color="000000"/>
              <w:bottom w:val="single" w:sz="4" w:space="0" w:color="000000"/>
              <w:right w:val="single" w:sz="4" w:space="0" w:color="000000"/>
            </w:tcBorders>
          </w:tcPr>
          <w:p w14:paraId="568C861E"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10 x 4.00-5 / 10 x 4.50-5</w:t>
            </w:r>
          </w:p>
        </w:tc>
      </w:tr>
      <w:tr w:rsidR="004E3924" w14:paraId="2DA9F9FA" w14:textId="77777777">
        <w:trPr>
          <w:trHeight w:val="120"/>
        </w:trPr>
        <w:tc>
          <w:tcPr>
            <w:tcW w:w="3742" w:type="dxa"/>
            <w:tcBorders>
              <w:top w:val="single" w:sz="4" w:space="0" w:color="000000"/>
              <w:left w:val="single" w:sz="4" w:space="0" w:color="000000"/>
              <w:bottom w:val="single" w:sz="4" w:space="0" w:color="000000"/>
              <w:right w:val="single" w:sz="4" w:space="0" w:color="000000"/>
            </w:tcBorders>
            <w:shd w:val="clear" w:color="auto" w:fill="C6D9F1"/>
          </w:tcPr>
          <w:p w14:paraId="31EE8524" w14:textId="77777777" w:rsidR="004E3924" w:rsidRDefault="00000000">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color w:val="000000"/>
                <w:sz w:val="23"/>
                <w:szCs w:val="23"/>
              </w:rPr>
              <w:t>Reifen hinten (Regen)</w:t>
            </w:r>
          </w:p>
        </w:tc>
        <w:tc>
          <w:tcPr>
            <w:tcW w:w="4139" w:type="dxa"/>
            <w:gridSpan w:val="2"/>
            <w:tcBorders>
              <w:top w:val="single" w:sz="4" w:space="0" w:color="000000"/>
              <w:left w:val="single" w:sz="4" w:space="0" w:color="000000"/>
              <w:bottom w:val="single" w:sz="4" w:space="0" w:color="000000"/>
              <w:right w:val="single" w:sz="4" w:space="0" w:color="000000"/>
            </w:tcBorders>
          </w:tcPr>
          <w:p w14:paraId="2676911E"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11 x 5.00-5 / 11 x 6.00-5 / 11 x 6.50-5</w:t>
            </w:r>
          </w:p>
        </w:tc>
      </w:tr>
    </w:tbl>
    <w:p w14:paraId="6CE7A9A2" w14:textId="77777777" w:rsidR="004E3924" w:rsidRDefault="004E3924">
      <w:pPr>
        <w:pBdr>
          <w:top w:val="nil"/>
          <w:left w:val="nil"/>
          <w:bottom w:val="nil"/>
          <w:right w:val="nil"/>
          <w:between w:val="nil"/>
        </w:pBdr>
        <w:spacing w:after="200"/>
        <w:rPr>
          <w:rFonts w:ascii="Calibri" w:eastAsia="Calibri" w:hAnsi="Calibri" w:cs="Calibri"/>
          <w:color w:val="000000"/>
          <w:sz w:val="23"/>
          <w:szCs w:val="23"/>
        </w:rPr>
      </w:pPr>
    </w:p>
    <w:p w14:paraId="0E63A670"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3. Gewicht </w:t>
      </w:r>
    </w:p>
    <w:p w14:paraId="1FF4D076"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Das maximal zulässige Gesamtgewicht, inklusive des Fahrers und seiner vollständigen Rennausrüstung ist im allgemeinen Wagenbaureglement definiert.</w:t>
      </w:r>
    </w:p>
    <w:p w14:paraId="0DEDF412"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Die FISD hält sich das Recht vor, eine Sonderbefugnis zur Überschreitung von maximal 10% insofern das Fahrzeug mit keinerlei Ballast versehen ist.</w:t>
      </w:r>
    </w:p>
    <w:p w14:paraId="7CB908AA"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4. Ballast </w:t>
      </w:r>
    </w:p>
    <w:p w14:paraId="1D0D053A" w14:textId="77777777" w:rsidR="009464F5" w:rsidRPr="009464F5" w:rsidRDefault="009464F5" w:rsidP="009464F5">
      <w:pPr>
        <w:rPr>
          <w:rFonts w:ascii="Calibri" w:eastAsia="Calibri" w:hAnsi="Calibri" w:cs="Calibri"/>
          <w:color w:val="FF0000"/>
          <w:sz w:val="23"/>
          <w:szCs w:val="23"/>
        </w:rPr>
      </w:pPr>
      <w:r w:rsidRPr="009464F5">
        <w:rPr>
          <w:rFonts w:ascii="Calibri" w:eastAsia="Calibri" w:hAnsi="Calibri" w:cs="Calibri"/>
          <w:color w:val="FF0000"/>
          <w:sz w:val="23"/>
          <w:szCs w:val="23"/>
        </w:rPr>
        <w:t>Die Vorschaltgeräte müssen am Fahrgestell befestigt werden (mindestens M8).</w:t>
      </w:r>
    </w:p>
    <w:p w14:paraId="178E4F8D" w14:textId="77777777" w:rsidR="009464F5" w:rsidRPr="009464F5" w:rsidRDefault="009464F5" w:rsidP="009464F5">
      <w:pPr>
        <w:rPr>
          <w:rFonts w:ascii="Calibri" w:eastAsia="Calibri" w:hAnsi="Calibri" w:cs="Calibri"/>
          <w:color w:val="FF0000"/>
          <w:sz w:val="23"/>
          <w:szCs w:val="23"/>
        </w:rPr>
      </w:pPr>
      <w:r w:rsidRPr="009464F5">
        <w:rPr>
          <w:rFonts w:ascii="Calibri" w:eastAsia="Calibri" w:hAnsi="Calibri" w:cs="Calibri"/>
          <w:color w:val="FF0000"/>
          <w:sz w:val="23"/>
          <w:szCs w:val="23"/>
        </w:rPr>
        <w:t>Das Vorschaltgerät kann zusätzlich mittels Schrauben (mindestens M8) und großen Unterlegscheiben auf der Grundplatte befestigt werden.</w:t>
      </w:r>
    </w:p>
    <w:p w14:paraId="0B8BEA08" w14:textId="498E80A8" w:rsidR="004E3924" w:rsidRDefault="009464F5" w:rsidP="009464F5">
      <w:pPr>
        <w:rPr>
          <w:rFonts w:ascii="Calibri" w:eastAsia="Calibri" w:hAnsi="Calibri" w:cs="Calibri"/>
          <w:color w:val="000000"/>
          <w:sz w:val="23"/>
          <w:szCs w:val="23"/>
        </w:rPr>
      </w:pPr>
      <w:r w:rsidRPr="009464F5">
        <w:rPr>
          <w:rFonts w:ascii="Calibri" w:eastAsia="Calibri" w:hAnsi="Calibri" w:cs="Calibri"/>
          <w:color w:val="FF0000"/>
          <w:sz w:val="23"/>
          <w:szCs w:val="23"/>
        </w:rPr>
        <w:t>Die Verwendung von Ballast in der Fahrgestellstruktur ist nicht zulässig</w:t>
      </w:r>
      <w:r w:rsidRPr="009464F5">
        <w:rPr>
          <w:rFonts w:ascii="Calibri" w:eastAsia="Calibri" w:hAnsi="Calibri" w:cs="Calibri"/>
          <w:color w:val="000000"/>
          <w:sz w:val="23"/>
          <w:szCs w:val="23"/>
        </w:rPr>
        <w:t>.</w:t>
      </w:r>
      <w:r w:rsidR="00000000">
        <w:br w:type="page"/>
      </w:r>
    </w:p>
    <w:p w14:paraId="119DF353" w14:textId="77777777" w:rsidR="004E3924" w:rsidRDefault="004E3924">
      <w:pPr>
        <w:pBdr>
          <w:top w:val="nil"/>
          <w:left w:val="nil"/>
          <w:bottom w:val="nil"/>
          <w:right w:val="nil"/>
          <w:between w:val="nil"/>
        </w:pBdr>
        <w:rPr>
          <w:rFonts w:ascii="Calibri" w:eastAsia="Calibri" w:hAnsi="Calibri" w:cs="Calibri"/>
          <w:color w:val="000000"/>
          <w:sz w:val="23"/>
          <w:szCs w:val="23"/>
        </w:rPr>
      </w:pPr>
    </w:p>
    <w:p w14:paraId="738C7664" w14:textId="77777777" w:rsidR="004E3924" w:rsidRDefault="00000000">
      <w:pPr>
        <w:pBdr>
          <w:top w:val="nil"/>
          <w:left w:val="nil"/>
          <w:bottom w:val="nil"/>
          <w:right w:val="nil"/>
          <w:between w:val="nil"/>
        </w:pBdr>
        <w:spacing w:after="120"/>
        <w:rPr>
          <w:rFonts w:ascii="Calibri" w:eastAsia="Calibri" w:hAnsi="Calibri" w:cs="Calibri"/>
          <w:color w:val="000000"/>
          <w:sz w:val="23"/>
          <w:szCs w:val="23"/>
        </w:rPr>
      </w:pPr>
      <w:r>
        <w:rPr>
          <w:rFonts w:ascii="Calibri" w:eastAsia="Calibri" w:hAnsi="Calibri" w:cs="Calibri"/>
          <w:color w:val="000000"/>
          <w:sz w:val="23"/>
          <w:szCs w:val="23"/>
        </w:rPr>
        <w:t xml:space="preserve">Wird das Ballastgewicht am Sitz befestigt, ist dies mittels 2 Schrauben und Unterlagscheiben aus dem </w:t>
      </w:r>
      <w:proofErr w:type="spellStart"/>
      <w:r>
        <w:rPr>
          <w:rFonts w:ascii="Calibri" w:eastAsia="Calibri" w:hAnsi="Calibri" w:cs="Calibri"/>
          <w:color w:val="000000"/>
          <w:sz w:val="23"/>
          <w:szCs w:val="23"/>
        </w:rPr>
        <w:t>Kart</w:t>
      </w:r>
      <w:proofErr w:type="spellEnd"/>
      <w:r>
        <w:rPr>
          <w:rFonts w:ascii="Calibri" w:eastAsia="Calibri" w:hAnsi="Calibri" w:cs="Calibri"/>
          <w:color w:val="000000"/>
          <w:sz w:val="23"/>
          <w:szCs w:val="23"/>
        </w:rPr>
        <w:t>-Sport Vorzunehmen (siehe nachfolgende Abbildung.</w:t>
      </w:r>
    </w:p>
    <w:p w14:paraId="6EA6BFDA" w14:textId="77777777" w:rsidR="004E3924" w:rsidRDefault="00000000">
      <w:pPr>
        <w:rPr>
          <w:rFonts w:ascii="Calibri" w:eastAsia="Calibri" w:hAnsi="Calibri" w:cs="Calibri"/>
          <w:color w:val="000000"/>
          <w:sz w:val="28"/>
          <w:szCs w:val="28"/>
        </w:rPr>
      </w:pPr>
      <w:r>
        <w:rPr>
          <w:rFonts w:ascii="Calibri" w:eastAsia="Calibri" w:hAnsi="Calibri" w:cs="Calibri"/>
          <w:noProof/>
          <w:sz w:val="28"/>
          <w:szCs w:val="28"/>
        </w:rPr>
        <w:drawing>
          <wp:inline distT="0" distB="0" distL="0" distR="0" wp14:anchorId="33EF2D04" wp14:editId="799EB9DB">
            <wp:extent cx="2516400" cy="18000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516400" cy="1800000"/>
                    </a:xfrm>
                    <a:prstGeom prst="rect">
                      <a:avLst/>
                    </a:prstGeom>
                    <a:ln/>
                  </pic:spPr>
                </pic:pic>
              </a:graphicData>
            </a:graphic>
          </wp:inline>
        </w:drawing>
      </w:r>
      <w:r>
        <w:rPr>
          <w:rFonts w:ascii="Calibri" w:eastAsia="Calibri" w:hAnsi="Calibri" w:cs="Calibri"/>
          <w:noProof/>
          <w:sz w:val="28"/>
          <w:szCs w:val="28"/>
        </w:rPr>
        <w:drawing>
          <wp:inline distT="0" distB="0" distL="0" distR="0" wp14:anchorId="594D0ABB" wp14:editId="7BA191A7">
            <wp:extent cx="2206800" cy="18000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206800" cy="1800000"/>
                    </a:xfrm>
                    <a:prstGeom prst="rect">
                      <a:avLst/>
                    </a:prstGeom>
                    <a:ln/>
                  </pic:spPr>
                </pic:pic>
              </a:graphicData>
            </a:graphic>
          </wp:inline>
        </w:drawing>
      </w:r>
    </w:p>
    <w:p w14:paraId="0E1B1332" w14:textId="77777777" w:rsidR="004E3924" w:rsidRDefault="00000000">
      <w:pPr>
        <w:rPr>
          <w:rFonts w:ascii="Calibri" w:eastAsia="Calibri" w:hAnsi="Calibri" w:cs="Calibri"/>
          <w:color w:val="000000"/>
          <w:sz w:val="23"/>
          <w:szCs w:val="23"/>
        </w:rPr>
      </w:pPr>
      <w:r>
        <w:rPr>
          <w:rFonts w:ascii="Calibri" w:eastAsia="Calibri" w:hAnsi="Calibri" w:cs="Calibri"/>
          <w:color w:val="000000"/>
          <w:sz w:val="23"/>
          <w:szCs w:val="23"/>
        </w:rPr>
        <w:t>Abbildung 1</w:t>
      </w:r>
    </w:p>
    <w:p w14:paraId="3FBC2886"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5. Fahrgestell</w:t>
      </w:r>
    </w:p>
    <w:p w14:paraId="306B81D6"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Der Rahmen muss aus Stahlrohr sein. Gewebewerkstoffe und Leichtmetall dürfen nicht verwendet werden. Es sind keinerlei scharfe Kanten und spitzige Enden zulässig. Sämtliche Einzelteile des Rahmens müssen fest miteinander verbunden sein.</w:t>
      </w:r>
    </w:p>
    <w:p w14:paraId="2760AA76"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Alle Antriebselemente müssen entfernt sein. (Motor, Antriebsritzel </w:t>
      </w:r>
      <w:proofErr w:type="spellStart"/>
      <w:r>
        <w:rPr>
          <w:rFonts w:ascii="Calibri" w:eastAsia="Calibri" w:hAnsi="Calibri" w:cs="Calibri"/>
          <w:color w:val="000000"/>
          <w:sz w:val="23"/>
          <w:szCs w:val="23"/>
        </w:rPr>
        <w:t>usw</w:t>
      </w:r>
      <w:proofErr w:type="spellEnd"/>
      <w:r>
        <w:rPr>
          <w:rFonts w:ascii="Calibri" w:eastAsia="Calibri" w:hAnsi="Calibri" w:cs="Calibri"/>
          <w:color w:val="000000"/>
          <w:sz w:val="23"/>
          <w:szCs w:val="23"/>
        </w:rPr>
        <w:t>). Der Tank darf als Stauraum verwendet werden.</w:t>
      </w:r>
    </w:p>
    <w:p w14:paraId="427841CA"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Der Einsatz von Federungselement, Aufhänge- oder Gelenksystemen ist nicht erlaubt.</w:t>
      </w:r>
    </w:p>
    <w:p w14:paraId="1A80C2D1"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Die Stoßstangen aus Rohr, (vorne wie auch hinten), müssen mit dem Rahmen fest verschraubt sein (Schrauben oder Schnellspanner). Die empfohlenen Abmessungen entsprechen den standardisierten Vorgaben der </w:t>
      </w:r>
      <w:proofErr w:type="spellStart"/>
      <w:r>
        <w:rPr>
          <w:rFonts w:ascii="Calibri" w:eastAsia="Calibri" w:hAnsi="Calibri" w:cs="Calibri"/>
          <w:color w:val="000000"/>
          <w:sz w:val="23"/>
          <w:szCs w:val="23"/>
        </w:rPr>
        <w:t>Kart</w:t>
      </w:r>
      <w:proofErr w:type="spellEnd"/>
      <w:r>
        <w:rPr>
          <w:rFonts w:ascii="Calibri" w:eastAsia="Calibri" w:hAnsi="Calibri" w:cs="Calibri"/>
          <w:color w:val="000000"/>
          <w:sz w:val="23"/>
          <w:szCs w:val="23"/>
        </w:rPr>
        <w:t xml:space="preserve">-Hersteller, dies sind vorne Ø 16mm und hinten Ø 20mm. </w:t>
      </w:r>
    </w:p>
    <w:p w14:paraId="58BE9CFF" w14:textId="2F1DE805"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Zwischen den äußeren Rahmenrohren muss eine einteilige Bodenplatte aus magnetischem Stahl mit de</w:t>
      </w:r>
      <w:r>
        <w:rPr>
          <w:rFonts w:ascii="Calibri" w:eastAsia="Calibri" w:hAnsi="Calibri" w:cs="Calibri"/>
          <w:sz w:val="23"/>
          <w:szCs w:val="23"/>
        </w:rPr>
        <w:t>m</w:t>
      </w:r>
      <w:r>
        <w:rPr>
          <w:rFonts w:ascii="Calibri" w:eastAsia="Calibri" w:hAnsi="Calibri" w:cs="Calibri"/>
          <w:color w:val="000000"/>
          <w:sz w:val="23"/>
          <w:szCs w:val="23"/>
        </w:rPr>
        <w:t xml:space="preserve"> Rahmen fest verschraubt sein. Die Bodenplatte darf nicht über die äußeren Rahmenrohre hinausragen.</w:t>
      </w:r>
      <w:r>
        <w:rPr>
          <w:rFonts w:ascii="Calibri" w:eastAsia="Calibri" w:hAnsi="Calibri" w:cs="Calibri"/>
          <w:color w:val="FF0000"/>
          <w:sz w:val="23"/>
          <w:szCs w:val="23"/>
        </w:rPr>
        <w:t xml:space="preserve"> </w:t>
      </w:r>
      <w:r w:rsidR="009464F5" w:rsidRPr="009464F5">
        <w:rPr>
          <w:rFonts w:ascii="Calibri" w:eastAsia="Calibri" w:hAnsi="Calibri" w:cs="Calibri"/>
          <w:color w:val="FF0000"/>
          <w:sz w:val="23"/>
          <w:szCs w:val="23"/>
        </w:rPr>
        <w:t xml:space="preserve">Der Boden des </w:t>
      </w:r>
      <w:proofErr w:type="spellStart"/>
      <w:r w:rsidR="009464F5" w:rsidRPr="009464F5">
        <w:rPr>
          <w:rFonts w:ascii="Calibri" w:eastAsia="Calibri" w:hAnsi="Calibri" w:cs="Calibri"/>
          <w:color w:val="FF0000"/>
          <w:sz w:val="23"/>
          <w:szCs w:val="23"/>
        </w:rPr>
        <w:t>Karts</w:t>
      </w:r>
      <w:proofErr w:type="spellEnd"/>
      <w:r w:rsidR="009464F5" w:rsidRPr="009464F5">
        <w:rPr>
          <w:rFonts w:ascii="Calibri" w:eastAsia="Calibri" w:hAnsi="Calibri" w:cs="Calibri"/>
          <w:color w:val="FF0000"/>
          <w:sz w:val="23"/>
          <w:szCs w:val="23"/>
        </w:rPr>
        <w:t xml:space="preserve"> muss aus einem Metallblech (Stahl) mit einer Mindestdicke von 1,5 mm bestehen</w:t>
      </w:r>
      <w:r>
        <w:rPr>
          <w:rFonts w:ascii="Calibri" w:eastAsia="Calibri" w:hAnsi="Calibri" w:cs="Calibri"/>
          <w:color w:val="000000"/>
          <w:sz w:val="23"/>
          <w:szCs w:val="23"/>
        </w:rPr>
        <w:t xml:space="preserve">. Geschweißte Verbindungen sind unzulässig. Die Bodenplatte muss mindestens die Fläche zwischen dem </w:t>
      </w:r>
      <w:proofErr w:type="spellStart"/>
      <w:r>
        <w:rPr>
          <w:rFonts w:ascii="Calibri" w:eastAsia="Calibri" w:hAnsi="Calibri" w:cs="Calibri"/>
          <w:color w:val="000000"/>
          <w:sz w:val="23"/>
          <w:szCs w:val="23"/>
        </w:rPr>
        <w:t>Querrohr</w:t>
      </w:r>
      <w:proofErr w:type="spellEnd"/>
      <w:r>
        <w:rPr>
          <w:rFonts w:ascii="Calibri" w:eastAsia="Calibri" w:hAnsi="Calibri" w:cs="Calibri"/>
          <w:color w:val="000000"/>
          <w:sz w:val="23"/>
          <w:szCs w:val="23"/>
        </w:rPr>
        <w:t xml:space="preserve"> vor dem Sitz und dem Frontrohr, sowie den äußeren Rahmenrohren vollständig abdecken. Eine durchgängige Bodenplatte zwischen Front- und </w:t>
      </w:r>
      <w:proofErr w:type="spellStart"/>
      <w:r>
        <w:rPr>
          <w:rFonts w:ascii="Calibri" w:eastAsia="Calibri" w:hAnsi="Calibri" w:cs="Calibri"/>
          <w:color w:val="000000"/>
          <w:sz w:val="23"/>
          <w:szCs w:val="23"/>
        </w:rPr>
        <w:t>Heckrohr</w:t>
      </w:r>
      <w:proofErr w:type="spellEnd"/>
      <w:r>
        <w:rPr>
          <w:rFonts w:ascii="Calibri" w:eastAsia="Calibri" w:hAnsi="Calibri" w:cs="Calibri"/>
          <w:color w:val="000000"/>
          <w:sz w:val="23"/>
          <w:szCs w:val="23"/>
        </w:rPr>
        <w:t xml:space="preserve"> ist zulässig.</w:t>
      </w:r>
    </w:p>
    <w:p w14:paraId="2399D102"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6. Lenkung </w:t>
      </w:r>
    </w:p>
    <w:p w14:paraId="5EF4028E"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Die Lenkung muss </w:t>
      </w:r>
      <w:proofErr w:type="spellStart"/>
      <w:r>
        <w:rPr>
          <w:rFonts w:ascii="Calibri" w:eastAsia="Calibri" w:hAnsi="Calibri" w:cs="Calibri"/>
          <w:color w:val="000000"/>
          <w:sz w:val="23"/>
          <w:szCs w:val="23"/>
        </w:rPr>
        <w:t>Kart</w:t>
      </w:r>
      <w:proofErr w:type="spellEnd"/>
      <w:r>
        <w:rPr>
          <w:rFonts w:ascii="Calibri" w:eastAsia="Calibri" w:hAnsi="Calibri" w:cs="Calibri"/>
          <w:color w:val="000000"/>
          <w:sz w:val="23"/>
          <w:szCs w:val="23"/>
        </w:rPr>
        <w:t xml:space="preserve">-typisch aufgebaut sein. Bestehend aus einer Lenksäule, festen und metallischen Lenkstangen muss die Lenkung durch ein Lenkrad betätigt werden. Alle verschraubten Lenkungselemente müssen mit Stoppmuttern gesichert sein. </w:t>
      </w:r>
    </w:p>
    <w:p w14:paraId="5212F0B4"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7. Verkleidung / </w:t>
      </w:r>
      <w:proofErr w:type="spellStart"/>
      <w:r>
        <w:rPr>
          <w:rFonts w:ascii="Calibri" w:eastAsia="Calibri" w:hAnsi="Calibri" w:cs="Calibri"/>
          <w:b/>
          <w:color w:val="000000"/>
          <w:sz w:val="28"/>
          <w:szCs w:val="28"/>
        </w:rPr>
        <w:t>Bodywork</w:t>
      </w:r>
      <w:proofErr w:type="spellEnd"/>
    </w:p>
    <w:p w14:paraId="3BA9118B"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Es müssen von der CIK/FIA homologierte Frontschilder, -spoiler und Seitenkästen montiert sein. Die CIK/FIA-Homologation ist auch nach Ablauf der Zulassung für </w:t>
      </w:r>
      <w:proofErr w:type="spellStart"/>
      <w:r>
        <w:rPr>
          <w:rFonts w:ascii="Calibri" w:eastAsia="Calibri" w:hAnsi="Calibri" w:cs="Calibri"/>
          <w:color w:val="000000"/>
          <w:sz w:val="23"/>
          <w:szCs w:val="23"/>
        </w:rPr>
        <w:t>Speeddownrennen</w:t>
      </w:r>
      <w:proofErr w:type="spellEnd"/>
      <w:r>
        <w:rPr>
          <w:rFonts w:ascii="Calibri" w:eastAsia="Calibri" w:hAnsi="Calibri" w:cs="Calibri"/>
          <w:color w:val="000000"/>
          <w:sz w:val="23"/>
          <w:szCs w:val="23"/>
        </w:rPr>
        <w:t xml:space="preserve"> weiterhin gültig.</w:t>
      </w:r>
    </w:p>
    <w:p w14:paraId="6012C767" w14:textId="77777777" w:rsidR="004E3924" w:rsidRDefault="00000000">
      <w:pPr>
        <w:rPr>
          <w:rFonts w:ascii="Calibri" w:eastAsia="Calibri" w:hAnsi="Calibri" w:cs="Calibri"/>
          <w:color w:val="000000"/>
          <w:sz w:val="23"/>
          <w:szCs w:val="23"/>
        </w:rPr>
      </w:pPr>
      <w:r>
        <w:br w:type="page"/>
      </w:r>
    </w:p>
    <w:p w14:paraId="4B78A650" w14:textId="77777777" w:rsidR="004E3924" w:rsidRDefault="00000000">
      <w:pPr>
        <w:pBdr>
          <w:top w:val="nil"/>
          <w:left w:val="nil"/>
          <w:bottom w:val="nil"/>
          <w:right w:val="nil"/>
          <w:between w:val="nil"/>
        </w:pBdr>
        <w:spacing w:before="144" w:after="60"/>
        <w:jc w:val="both"/>
        <w:rPr>
          <w:rFonts w:ascii="Calibri" w:eastAsia="Calibri" w:hAnsi="Calibri" w:cs="Calibri"/>
          <w:color w:val="000000"/>
          <w:sz w:val="23"/>
          <w:szCs w:val="23"/>
        </w:rPr>
      </w:pPr>
      <w:r>
        <w:rPr>
          <w:rFonts w:ascii="Calibri" w:eastAsia="Calibri" w:hAnsi="Calibri" w:cs="Calibri"/>
          <w:color w:val="000000"/>
          <w:sz w:val="23"/>
          <w:szCs w:val="23"/>
        </w:rPr>
        <w:lastRenderedPageBreak/>
        <w:t>Die Außenseite der Seitenkästen muss in der Flucht der Außenseite des Hinterrades sein.</w:t>
      </w:r>
      <w:r>
        <w:rPr>
          <w:rFonts w:ascii="Calibri" w:eastAsia="Calibri" w:hAnsi="Calibri" w:cs="Calibri"/>
          <w:color w:val="FF0000"/>
          <w:sz w:val="23"/>
          <w:szCs w:val="23"/>
        </w:rPr>
        <w:t xml:space="preserve"> </w:t>
      </w:r>
      <w:r>
        <w:rPr>
          <w:rFonts w:ascii="Calibri" w:eastAsia="Calibri" w:hAnsi="Calibri" w:cs="Calibri"/>
          <w:color w:val="000000"/>
          <w:sz w:val="23"/>
          <w:szCs w:val="23"/>
        </w:rPr>
        <w:t>Bei montierten Regenreifen gilt diese Regel nicht.</w:t>
      </w:r>
    </w:p>
    <w:p w14:paraId="6E913A7A" w14:textId="77777777" w:rsidR="004E3924" w:rsidRDefault="00000000">
      <w:pPr>
        <w:pBdr>
          <w:top w:val="nil"/>
          <w:left w:val="nil"/>
          <w:bottom w:val="nil"/>
          <w:right w:val="nil"/>
          <w:between w:val="nil"/>
        </w:pBdr>
        <w:spacing w:after="60"/>
        <w:jc w:val="both"/>
        <w:rPr>
          <w:rFonts w:ascii="Calibri" w:eastAsia="Calibri" w:hAnsi="Calibri" w:cs="Calibri"/>
          <w:color w:val="000000"/>
          <w:sz w:val="23"/>
          <w:szCs w:val="23"/>
        </w:rPr>
      </w:pPr>
      <w:r>
        <w:rPr>
          <w:rFonts w:ascii="Calibri" w:eastAsia="Calibri" w:hAnsi="Calibri" w:cs="Calibri"/>
          <w:color w:val="000000"/>
          <w:sz w:val="23"/>
          <w:szCs w:val="23"/>
        </w:rPr>
        <w:t xml:space="preserve">Es muss eine hintere Stoßstange aus Stahlrohr oder Kunststoff am Rahmen befestigt sein. Kunststoffstoßstangen müssen von der CIK/FIA homologiert sein. Die Homologation ist auch nach Ablauf der CIK/FIA-Zulassung für </w:t>
      </w:r>
      <w:proofErr w:type="spellStart"/>
      <w:r>
        <w:rPr>
          <w:rFonts w:ascii="Calibri" w:eastAsia="Calibri" w:hAnsi="Calibri" w:cs="Calibri"/>
          <w:color w:val="000000"/>
          <w:sz w:val="23"/>
          <w:szCs w:val="23"/>
        </w:rPr>
        <w:t>Speeddownrennen</w:t>
      </w:r>
      <w:proofErr w:type="spellEnd"/>
      <w:r>
        <w:rPr>
          <w:rFonts w:ascii="Calibri" w:eastAsia="Calibri" w:hAnsi="Calibri" w:cs="Calibri"/>
          <w:color w:val="000000"/>
          <w:sz w:val="23"/>
          <w:szCs w:val="23"/>
        </w:rPr>
        <w:t xml:space="preserve"> weiterhin gültig.</w:t>
      </w:r>
    </w:p>
    <w:p w14:paraId="547D5E58"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8. Sitz</w:t>
      </w:r>
    </w:p>
    <w:p w14:paraId="689931E7"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Nur Sitze aus dem </w:t>
      </w:r>
      <w:proofErr w:type="spellStart"/>
      <w:r>
        <w:rPr>
          <w:rFonts w:ascii="Calibri" w:eastAsia="Calibri" w:hAnsi="Calibri" w:cs="Calibri"/>
          <w:color w:val="000000"/>
          <w:sz w:val="23"/>
          <w:szCs w:val="23"/>
        </w:rPr>
        <w:t>Motorkart</w:t>
      </w:r>
      <w:proofErr w:type="spellEnd"/>
      <w:r>
        <w:rPr>
          <w:rFonts w:ascii="Calibri" w:eastAsia="Calibri" w:hAnsi="Calibri" w:cs="Calibri"/>
          <w:color w:val="000000"/>
          <w:sz w:val="23"/>
          <w:szCs w:val="23"/>
        </w:rPr>
        <w:t xml:space="preserve">-Rennsport sind zugelassen. Der Sitz ist den Abmessungen des Fahrers / der Fahrerin entsprechend abzustimmen, welcher ihn/sie während der ganzen Fahrt in fester Position hält. </w:t>
      </w:r>
    </w:p>
    <w:p w14:paraId="581C6640"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9. Reifen </w:t>
      </w:r>
    </w:p>
    <w:p w14:paraId="548B7E57"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Zulässig sind nur Reifen aus dem </w:t>
      </w:r>
      <w:proofErr w:type="spellStart"/>
      <w:r>
        <w:rPr>
          <w:rFonts w:ascii="Calibri" w:eastAsia="Calibri" w:hAnsi="Calibri" w:cs="Calibri"/>
          <w:color w:val="000000"/>
          <w:sz w:val="23"/>
          <w:szCs w:val="23"/>
        </w:rPr>
        <w:t>Motorkartsport</w:t>
      </w:r>
      <w:proofErr w:type="spellEnd"/>
      <w:r>
        <w:rPr>
          <w:rFonts w:ascii="Calibri" w:eastAsia="Calibri" w:hAnsi="Calibri" w:cs="Calibri"/>
          <w:color w:val="000000"/>
          <w:sz w:val="23"/>
          <w:szCs w:val="23"/>
        </w:rPr>
        <w:t xml:space="preserve">. Bis auf die normale Abnutzung darf an den Reifen keine Änderung vorgenommen werden. </w:t>
      </w:r>
      <w:r>
        <w:rPr>
          <w:rFonts w:ascii="Calibri" w:eastAsia="Calibri" w:hAnsi="Calibri" w:cs="Calibri"/>
          <w:b/>
          <w:color w:val="000000"/>
          <w:sz w:val="23"/>
          <w:szCs w:val="23"/>
        </w:rPr>
        <w:t>Der Luftdruck darf höchstens 3,5 Bar betragen.</w:t>
      </w:r>
      <w:r>
        <w:rPr>
          <w:rFonts w:ascii="Calibri" w:eastAsia="Calibri" w:hAnsi="Calibri" w:cs="Calibri"/>
          <w:color w:val="000000"/>
          <w:sz w:val="23"/>
          <w:szCs w:val="23"/>
        </w:rPr>
        <w:t xml:space="preserve"> </w:t>
      </w:r>
    </w:p>
    <w:p w14:paraId="067AA853"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10. Hinterachse</w:t>
      </w:r>
    </w:p>
    <w:p w14:paraId="2A982E07" w14:textId="77777777" w:rsidR="004E3924" w:rsidRDefault="00000000">
      <w:pPr>
        <w:pBdr>
          <w:top w:val="nil"/>
          <w:left w:val="nil"/>
          <w:bottom w:val="nil"/>
          <w:right w:val="nil"/>
          <w:between w:val="nil"/>
        </w:pBdr>
        <w:spacing w:after="60"/>
        <w:jc w:val="both"/>
        <w:rPr>
          <w:rFonts w:ascii="Calibri" w:eastAsia="Calibri" w:hAnsi="Calibri" w:cs="Calibri"/>
          <w:color w:val="000000"/>
          <w:sz w:val="23"/>
          <w:szCs w:val="23"/>
        </w:rPr>
      </w:pPr>
      <w:r>
        <w:rPr>
          <w:rFonts w:ascii="Calibri" w:eastAsia="Calibri" w:hAnsi="Calibri" w:cs="Calibri"/>
          <w:color w:val="000000"/>
          <w:sz w:val="23"/>
          <w:szCs w:val="23"/>
        </w:rPr>
        <w:t xml:space="preserve">Die Hinterachse aus vollem oder hohlem magnetischem Stahl kann einteilig wie auch zweiteilig ausgelegt werden, damit die Hinterräder unabhängig drehen können. Wird die Hinterachse zweiteilig ausgelegt, müssen Kugellager mit einem Innendurchmesser von mindestens Ø17mm eingesetzt werden. Zur Lagerung des 4. Kugellagers dürfen 2 Rohre, deren Durchmesser max. 35mm beträgt, angebracht werden. Gelenkelemente welche die Ausrichtung der Hinterräder ermöglichen sind nicht zulässig. </w:t>
      </w:r>
    </w:p>
    <w:p w14:paraId="2B2A8D06" w14:textId="77777777" w:rsidR="004E3924"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Darstellung von technischen Lösungen um die beiden Hinterräder unabhängig zu gestalten. Die Halterung des Sitzes wie auch der Lenksäule dürfen in die Mitte des Fahrzeuges angebracht sein. (Abbildung 2 und 3).</w:t>
      </w:r>
    </w:p>
    <w:p w14:paraId="1A70E7CA"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noProof/>
          <w:color w:val="000000"/>
          <w:sz w:val="23"/>
          <w:szCs w:val="23"/>
        </w:rPr>
        <w:drawing>
          <wp:inline distT="0" distB="0" distL="0" distR="0" wp14:anchorId="005DBF30" wp14:editId="277C504F">
            <wp:extent cx="5166117" cy="28800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166117" cy="2880000"/>
                    </a:xfrm>
                    <a:prstGeom prst="rect">
                      <a:avLst/>
                    </a:prstGeom>
                    <a:ln/>
                  </pic:spPr>
                </pic:pic>
              </a:graphicData>
            </a:graphic>
          </wp:inline>
        </w:drawing>
      </w:r>
    </w:p>
    <w:p w14:paraId="7878E43B" w14:textId="77777777" w:rsidR="004E3924" w:rsidRDefault="00000000">
      <w:pPr>
        <w:pBdr>
          <w:top w:val="nil"/>
          <w:left w:val="nil"/>
          <w:bottom w:val="nil"/>
          <w:right w:val="nil"/>
          <w:between w:val="nil"/>
        </w:pBdr>
        <w:spacing w:before="120"/>
        <w:rPr>
          <w:rFonts w:ascii="Calibri" w:eastAsia="Calibri" w:hAnsi="Calibri" w:cs="Calibri"/>
          <w:color w:val="000000"/>
          <w:sz w:val="23"/>
          <w:szCs w:val="23"/>
        </w:rPr>
      </w:pPr>
      <w:r>
        <w:rPr>
          <w:rFonts w:ascii="Calibri" w:eastAsia="Calibri" w:hAnsi="Calibri" w:cs="Calibri"/>
          <w:color w:val="000000"/>
          <w:sz w:val="23"/>
          <w:szCs w:val="23"/>
        </w:rPr>
        <w:t>Abbildung 2</w:t>
      </w:r>
    </w:p>
    <w:p w14:paraId="50D89FF2" w14:textId="77777777" w:rsidR="004E3924" w:rsidRDefault="00000000">
      <w:pPr>
        <w:pBdr>
          <w:top w:val="nil"/>
          <w:left w:val="nil"/>
          <w:bottom w:val="nil"/>
          <w:right w:val="nil"/>
          <w:between w:val="nil"/>
        </w:pBdr>
        <w:spacing w:before="240" w:after="120"/>
        <w:rPr>
          <w:rFonts w:ascii="Calibri" w:eastAsia="Calibri" w:hAnsi="Calibri" w:cs="Calibri"/>
          <w:color w:val="000000"/>
          <w:sz w:val="23"/>
          <w:szCs w:val="23"/>
        </w:rPr>
      </w:pPr>
      <w:r>
        <w:rPr>
          <w:rFonts w:ascii="Calibri" w:eastAsia="Calibri" w:hAnsi="Calibri" w:cs="Calibri"/>
          <w:noProof/>
          <w:color w:val="000000"/>
          <w:sz w:val="23"/>
          <w:szCs w:val="23"/>
        </w:rPr>
        <w:lastRenderedPageBreak/>
        <w:drawing>
          <wp:inline distT="0" distB="0" distL="0" distR="0" wp14:anchorId="67219F32" wp14:editId="0FE527BF">
            <wp:extent cx="5344000" cy="288000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344000" cy="2880000"/>
                    </a:xfrm>
                    <a:prstGeom prst="rect">
                      <a:avLst/>
                    </a:prstGeom>
                    <a:ln/>
                  </pic:spPr>
                </pic:pic>
              </a:graphicData>
            </a:graphic>
          </wp:inline>
        </w:drawing>
      </w:r>
    </w:p>
    <w:p w14:paraId="217CF223" w14:textId="77777777" w:rsidR="004E3924" w:rsidRDefault="00000000">
      <w:pPr>
        <w:pBdr>
          <w:top w:val="nil"/>
          <w:left w:val="nil"/>
          <w:bottom w:val="nil"/>
          <w:right w:val="nil"/>
          <w:between w:val="nil"/>
        </w:pBdr>
        <w:spacing w:before="240" w:after="120"/>
        <w:rPr>
          <w:rFonts w:ascii="Calibri" w:eastAsia="Calibri" w:hAnsi="Calibri" w:cs="Calibri"/>
          <w:color w:val="000000"/>
          <w:sz w:val="23"/>
          <w:szCs w:val="23"/>
        </w:rPr>
      </w:pPr>
      <w:r>
        <w:rPr>
          <w:rFonts w:ascii="Calibri" w:eastAsia="Calibri" w:hAnsi="Calibri" w:cs="Calibri"/>
          <w:color w:val="000000"/>
          <w:sz w:val="23"/>
          <w:szCs w:val="23"/>
        </w:rPr>
        <w:t>Abbildung 3</w:t>
      </w:r>
    </w:p>
    <w:p w14:paraId="5161FFC8" w14:textId="77777777" w:rsidR="004E3924" w:rsidRDefault="00000000">
      <w:pPr>
        <w:pBdr>
          <w:top w:val="nil"/>
          <w:left w:val="nil"/>
          <w:bottom w:val="nil"/>
          <w:right w:val="nil"/>
          <w:between w:val="nil"/>
        </w:pBdr>
        <w:spacing w:before="240" w:after="120"/>
        <w:rPr>
          <w:rFonts w:ascii="Calibri" w:eastAsia="Calibri" w:hAnsi="Calibri" w:cs="Calibri"/>
          <w:color w:val="000000"/>
          <w:sz w:val="23"/>
          <w:szCs w:val="23"/>
        </w:rPr>
      </w:pPr>
      <w:r>
        <w:rPr>
          <w:rFonts w:ascii="Calibri" w:eastAsia="Calibri" w:hAnsi="Calibri" w:cs="Calibri"/>
          <w:noProof/>
          <w:color w:val="000000"/>
          <w:sz w:val="23"/>
          <w:szCs w:val="23"/>
        </w:rPr>
        <w:drawing>
          <wp:inline distT="0" distB="0" distL="0" distR="0" wp14:anchorId="6532710C" wp14:editId="5B27CF12">
            <wp:extent cx="5351123" cy="3349104"/>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351123" cy="3349104"/>
                    </a:xfrm>
                    <a:prstGeom prst="rect">
                      <a:avLst/>
                    </a:prstGeom>
                    <a:ln/>
                  </pic:spPr>
                </pic:pic>
              </a:graphicData>
            </a:graphic>
          </wp:inline>
        </w:drawing>
      </w:r>
    </w:p>
    <w:p w14:paraId="379E780B" w14:textId="77777777" w:rsidR="004E3924" w:rsidRDefault="00000000">
      <w:pPr>
        <w:pBdr>
          <w:top w:val="nil"/>
          <w:left w:val="nil"/>
          <w:bottom w:val="nil"/>
          <w:right w:val="nil"/>
          <w:between w:val="nil"/>
        </w:pBdr>
        <w:spacing w:before="240" w:after="120"/>
        <w:ind w:left="1304" w:hanging="1304"/>
        <w:rPr>
          <w:rFonts w:ascii="Calibri" w:eastAsia="Calibri" w:hAnsi="Calibri" w:cs="Calibri"/>
          <w:color w:val="000000"/>
          <w:sz w:val="23"/>
          <w:szCs w:val="23"/>
        </w:rPr>
      </w:pPr>
      <w:r>
        <w:rPr>
          <w:rFonts w:ascii="Calibri" w:eastAsia="Calibri" w:hAnsi="Calibri" w:cs="Calibri"/>
          <w:color w:val="000000"/>
          <w:sz w:val="23"/>
          <w:szCs w:val="23"/>
        </w:rPr>
        <w:t>Abbildung 4</w:t>
      </w:r>
      <w:r>
        <w:rPr>
          <w:rFonts w:ascii="Calibri" w:eastAsia="Calibri" w:hAnsi="Calibri" w:cs="Calibri"/>
          <w:color w:val="000000"/>
          <w:sz w:val="23"/>
          <w:szCs w:val="23"/>
        </w:rPr>
        <w:tab/>
        <w:t>Fahrgestell mit einteiliger starrer Hinterachse, Radnaben mit integriertem Kugellager, ohne Ergänzung der Rohre C1 und C2</w:t>
      </w:r>
    </w:p>
    <w:p w14:paraId="55701669" w14:textId="77777777" w:rsidR="004E3924" w:rsidRDefault="00000000">
      <w:pPr>
        <w:pBdr>
          <w:top w:val="nil"/>
          <w:left w:val="nil"/>
          <w:bottom w:val="nil"/>
          <w:right w:val="nil"/>
          <w:between w:val="nil"/>
        </w:pBdr>
        <w:spacing w:before="240" w:after="120"/>
        <w:rPr>
          <w:rFonts w:ascii="Calibri" w:eastAsia="Calibri" w:hAnsi="Calibri" w:cs="Calibri"/>
          <w:color w:val="000000"/>
          <w:sz w:val="23"/>
          <w:szCs w:val="23"/>
        </w:rPr>
      </w:pPr>
      <w:r>
        <w:rPr>
          <w:rFonts w:ascii="Calibri" w:eastAsia="Calibri" w:hAnsi="Calibri" w:cs="Calibri"/>
          <w:noProof/>
          <w:color w:val="000000"/>
          <w:sz w:val="23"/>
          <w:szCs w:val="23"/>
        </w:rPr>
        <w:lastRenderedPageBreak/>
        <w:drawing>
          <wp:inline distT="0" distB="0" distL="0" distR="0" wp14:anchorId="213FCD18" wp14:editId="27ABC63F">
            <wp:extent cx="5174471" cy="3810985"/>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174471" cy="3810985"/>
                    </a:xfrm>
                    <a:prstGeom prst="rect">
                      <a:avLst/>
                    </a:prstGeom>
                    <a:ln/>
                  </pic:spPr>
                </pic:pic>
              </a:graphicData>
            </a:graphic>
          </wp:inline>
        </w:drawing>
      </w:r>
    </w:p>
    <w:p w14:paraId="4818A0DF" w14:textId="77777777" w:rsidR="004E3924" w:rsidRDefault="00000000">
      <w:pPr>
        <w:pBdr>
          <w:top w:val="nil"/>
          <w:left w:val="nil"/>
          <w:bottom w:val="nil"/>
          <w:right w:val="nil"/>
          <w:between w:val="nil"/>
        </w:pBdr>
        <w:spacing w:before="240" w:after="120"/>
        <w:ind w:left="1304" w:hanging="1304"/>
        <w:rPr>
          <w:rFonts w:ascii="Calibri" w:eastAsia="Calibri" w:hAnsi="Calibri" w:cs="Calibri"/>
          <w:color w:val="000000"/>
          <w:sz w:val="23"/>
          <w:szCs w:val="23"/>
        </w:rPr>
      </w:pPr>
      <w:r>
        <w:rPr>
          <w:rFonts w:ascii="Calibri" w:eastAsia="Calibri" w:hAnsi="Calibri" w:cs="Calibri"/>
          <w:color w:val="000000"/>
          <w:sz w:val="23"/>
          <w:szCs w:val="23"/>
        </w:rPr>
        <w:t>Abbildung 5</w:t>
      </w:r>
      <w:r>
        <w:rPr>
          <w:rFonts w:ascii="Calibri" w:eastAsia="Calibri" w:hAnsi="Calibri" w:cs="Calibri"/>
          <w:color w:val="000000"/>
          <w:sz w:val="23"/>
          <w:szCs w:val="23"/>
        </w:rPr>
        <w:tab/>
        <w:t>Fahrgestell mit zweiteiliger Hinterachse, Kugellager auf den beiden Wellen, mit Ergänzung der Rohre C1 und C2.</w:t>
      </w:r>
    </w:p>
    <w:p w14:paraId="73E065F9" w14:textId="77777777" w:rsidR="004E3924" w:rsidRDefault="004E3924">
      <w:pPr>
        <w:pBdr>
          <w:top w:val="nil"/>
          <w:left w:val="nil"/>
          <w:bottom w:val="nil"/>
          <w:right w:val="nil"/>
          <w:between w:val="nil"/>
        </w:pBdr>
        <w:spacing w:before="240" w:after="120"/>
        <w:rPr>
          <w:rFonts w:ascii="Calibri" w:eastAsia="Calibri" w:hAnsi="Calibri" w:cs="Calibri"/>
          <w:color w:val="000000"/>
          <w:sz w:val="23"/>
          <w:szCs w:val="23"/>
        </w:rPr>
      </w:pPr>
    </w:p>
    <w:p w14:paraId="02B4EEEE" w14:textId="77777777" w:rsidR="004E3924" w:rsidRDefault="00000000">
      <w:pPr>
        <w:pBdr>
          <w:top w:val="nil"/>
          <w:left w:val="nil"/>
          <w:bottom w:val="nil"/>
          <w:right w:val="nil"/>
          <w:between w:val="nil"/>
        </w:pBdr>
        <w:spacing w:before="240" w:after="120"/>
        <w:rPr>
          <w:rFonts w:ascii="Calibri" w:eastAsia="Calibri" w:hAnsi="Calibri" w:cs="Calibri"/>
          <w:color w:val="000000"/>
          <w:sz w:val="23"/>
          <w:szCs w:val="23"/>
        </w:rPr>
      </w:pPr>
      <w:r>
        <w:rPr>
          <w:rFonts w:ascii="Calibri" w:eastAsia="Calibri" w:hAnsi="Calibri" w:cs="Calibri"/>
          <w:noProof/>
          <w:color w:val="000000"/>
          <w:sz w:val="23"/>
          <w:szCs w:val="23"/>
        </w:rPr>
        <w:drawing>
          <wp:inline distT="0" distB="0" distL="0" distR="0" wp14:anchorId="03E11F08" wp14:editId="6E701599">
            <wp:extent cx="5197602" cy="2935184"/>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197602" cy="2935184"/>
                    </a:xfrm>
                    <a:prstGeom prst="rect">
                      <a:avLst/>
                    </a:prstGeom>
                    <a:ln/>
                  </pic:spPr>
                </pic:pic>
              </a:graphicData>
            </a:graphic>
          </wp:inline>
        </w:drawing>
      </w:r>
    </w:p>
    <w:p w14:paraId="723EE278" w14:textId="77777777" w:rsidR="004E3924" w:rsidRDefault="00000000">
      <w:pPr>
        <w:pBdr>
          <w:top w:val="nil"/>
          <w:left w:val="nil"/>
          <w:bottom w:val="nil"/>
          <w:right w:val="nil"/>
          <w:between w:val="nil"/>
        </w:pBdr>
        <w:spacing w:before="240" w:after="120"/>
        <w:ind w:left="1304" w:hanging="1304"/>
        <w:rPr>
          <w:rFonts w:ascii="Calibri" w:eastAsia="Calibri" w:hAnsi="Calibri" w:cs="Calibri"/>
          <w:color w:val="000000"/>
          <w:sz w:val="23"/>
          <w:szCs w:val="23"/>
        </w:rPr>
      </w:pPr>
      <w:r>
        <w:rPr>
          <w:rFonts w:ascii="Calibri" w:eastAsia="Calibri" w:hAnsi="Calibri" w:cs="Calibri"/>
          <w:color w:val="000000"/>
          <w:sz w:val="23"/>
          <w:szCs w:val="23"/>
        </w:rPr>
        <w:t>Abbildung 5</w:t>
      </w:r>
      <w:r>
        <w:rPr>
          <w:rFonts w:ascii="Calibri" w:eastAsia="Calibri" w:hAnsi="Calibri" w:cs="Calibri"/>
          <w:color w:val="000000"/>
          <w:sz w:val="23"/>
          <w:szCs w:val="23"/>
        </w:rPr>
        <w:tab/>
        <w:t>Fahrgestell mit Ergänzung der beiden Rohre C1 et C2 und einteiliger starrer Hinterachse, Kugellager in den Radnaben integriert.</w:t>
      </w:r>
    </w:p>
    <w:p w14:paraId="718316C5" w14:textId="77777777" w:rsidR="004E3924" w:rsidRDefault="004E3924">
      <w:pPr>
        <w:pBdr>
          <w:top w:val="nil"/>
          <w:left w:val="nil"/>
          <w:bottom w:val="nil"/>
          <w:right w:val="nil"/>
          <w:between w:val="nil"/>
        </w:pBdr>
        <w:rPr>
          <w:rFonts w:ascii="Calibri" w:eastAsia="Calibri" w:hAnsi="Calibri" w:cs="Calibri"/>
          <w:color w:val="000000"/>
          <w:sz w:val="23"/>
          <w:szCs w:val="23"/>
        </w:rPr>
      </w:pPr>
    </w:p>
    <w:p w14:paraId="4D0D7A2D" w14:textId="77777777" w:rsidR="004E3924" w:rsidRDefault="00000000">
      <w:pPr>
        <w:pBdr>
          <w:top w:val="nil"/>
          <w:left w:val="nil"/>
          <w:bottom w:val="nil"/>
          <w:right w:val="nil"/>
          <w:between w:val="nil"/>
        </w:pBdr>
        <w:spacing w:after="120"/>
        <w:rPr>
          <w:rFonts w:ascii="Calibri" w:eastAsia="Calibri" w:hAnsi="Calibri" w:cs="Calibri"/>
          <w:b/>
          <w:color w:val="000000"/>
          <w:sz w:val="28"/>
          <w:szCs w:val="28"/>
        </w:rPr>
      </w:pPr>
      <w:r>
        <w:rPr>
          <w:rFonts w:ascii="Calibri" w:eastAsia="Calibri" w:hAnsi="Calibri" w:cs="Calibri"/>
          <w:b/>
          <w:color w:val="000000"/>
          <w:sz w:val="28"/>
          <w:szCs w:val="28"/>
        </w:rPr>
        <w:t xml:space="preserve">11. Bremsen </w:t>
      </w:r>
    </w:p>
    <w:p w14:paraId="1914FEDF"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Zulässig sind ausschließlich mit dem Fuß bediente hydraulische oder mechanische Scheibenbremsen. Generell müssen Bremsen einer Achse auf beide Räder wirken. Wenn nur eine Achse gebremst wird, dann muss es die Hinterachse sein. Zusätzlich ist eine Vorderbremse zulässig. Die Kraftübertragung vom Bremspedal zum Bremszylinder erfolgt mittels Gestänge, das mit einem gespannten Sicherungsseil aus Stahldraht zusätzlich abgesichert werden muss. Das Sicherungsseil darf keinen Durchhang besitzen. Das Bremspedal darf auch bei Betätigung die Stoßstange nicht überragen.</w:t>
      </w:r>
    </w:p>
    <w:p w14:paraId="5582616A"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Die Pedal- und Sitzposition muss so auf den/die Fahrer*in eingestellt sein, dass in normaler Sitzposition eine Vollbremsung durchgeführt werden kann, ohne dass das entsprechende Bein bei einer Vollbremsung voll durchgestreckt ist. Das Bremspedal kann durch Pedalaufsätze verlängert oder mit am Rahmen befestigten Adaptern in der Position verändert werden.</w:t>
      </w:r>
    </w:p>
    <w:p w14:paraId="05E00663"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12. Schmierung und Antrieb </w:t>
      </w:r>
    </w:p>
    <w:p w14:paraId="7E61C67F"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Jegliche Schmierungs- und Antriebssysteme sind am Fahrzeug verboten.</w:t>
      </w:r>
    </w:p>
    <w:p w14:paraId="080901BB"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13. Spezifische Rennausrüstung </w:t>
      </w:r>
    </w:p>
    <w:p w14:paraId="5C9425B1"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Es gelten die Bestimmungen gemäß dem Dokument « </w:t>
      </w:r>
      <w:r>
        <w:rPr>
          <w:rFonts w:ascii="Calibri" w:eastAsia="Calibri" w:hAnsi="Calibri" w:cs="Calibri"/>
          <w:b/>
          <w:color w:val="000000"/>
          <w:sz w:val="23"/>
          <w:szCs w:val="23"/>
        </w:rPr>
        <w:t>Allgemeines Reglement FISD » Abschnitt II, Punkt B</w:t>
      </w:r>
      <w:r>
        <w:rPr>
          <w:rFonts w:ascii="Calibri" w:eastAsia="Calibri" w:hAnsi="Calibri" w:cs="Calibri"/>
          <w:color w:val="000000"/>
          <w:sz w:val="23"/>
          <w:szCs w:val="23"/>
        </w:rPr>
        <w:t xml:space="preserve">. Zusätzlich sind das Tragen einer Halskrause (wie aus dem </w:t>
      </w:r>
      <w:proofErr w:type="spellStart"/>
      <w:r>
        <w:rPr>
          <w:rFonts w:ascii="Calibri" w:eastAsia="Calibri" w:hAnsi="Calibri" w:cs="Calibri"/>
          <w:color w:val="000000"/>
          <w:sz w:val="23"/>
          <w:szCs w:val="23"/>
        </w:rPr>
        <w:t>Kart</w:t>
      </w:r>
      <w:proofErr w:type="spellEnd"/>
      <w:r>
        <w:rPr>
          <w:rFonts w:ascii="Calibri" w:eastAsia="Calibri" w:hAnsi="Calibri" w:cs="Calibri"/>
          <w:color w:val="000000"/>
          <w:sz w:val="23"/>
          <w:szCs w:val="23"/>
        </w:rPr>
        <w:t xml:space="preserve">-Rennsport) sowie ein Rippenschutz in dieser Kategorie obligatorisch. Für den Rippenschutz sind nur handelsübliche Produkte aus dem </w:t>
      </w:r>
      <w:proofErr w:type="spellStart"/>
      <w:r>
        <w:rPr>
          <w:rFonts w:ascii="Calibri" w:eastAsia="Calibri" w:hAnsi="Calibri" w:cs="Calibri"/>
          <w:color w:val="000000"/>
          <w:sz w:val="23"/>
          <w:szCs w:val="23"/>
        </w:rPr>
        <w:t>Kart</w:t>
      </w:r>
      <w:proofErr w:type="spellEnd"/>
      <w:r>
        <w:rPr>
          <w:rFonts w:ascii="Calibri" w:eastAsia="Calibri" w:hAnsi="Calibri" w:cs="Calibri"/>
          <w:color w:val="000000"/>
          <w:sz w:val="23"/>
          <w:szCs w:val="23"/>
        </w:rPr>
        <w:t>-Rennsport zulässig (keine Eigenanfertigungen).</w:t>
      </w:r>
    </w:p>
    <w:p w14:paraId="3A76F16F"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14. Startnummer</w:t>
      </w:r>
    </w:p>
    <w:p w14:paraId="00190C04"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Die Startnummer muss am Frontschild angebracht werden. Sie muss entsprechend dem Dokument </w:t>
      </w:r>
      <w:r>
        <w:rPr>
          <w:rFonts w:ascii="Calibri" w:eastAsia="Calibri" w:hAnsi="Calibri" w:cs="Calibri"/>
          <w:b/>
          <w:color w:val="000000"/>
          <w:sz w:val="23"/>
          <w:szCs w:val="23"/>
        </w:rPr>
        <w:t>« Allgemeines Reglement FISD » Abschnitt II, Punkt I</w:t>
      </w:r>
      <w:r>
        <w:rPr>
          <w:rFonts w:ascii="Calibri" w:eastAsia="Calibri" w:hAnsi="Calibri" w:cs="Calibri"/>
          <w:color w:val="000000"/>
          <w:sz w:val="23"/>
          <w:szCs w:val="23"/>
        </w:rPr>
        <w:t xml:space="preserve"> ausgelegt werden.</w:t>
      </w:r>
    </w:p>
    <w:p w14:paraId="5BEE9D04"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15. Schleppen der Fahrzeuge </w:t>
      </w:r>
    </w:p>
    <w:p w14:paraId="6C0A78B2" w14:textId="77777777" w:rsidR="004E3924" w:rsidRDefault="00000000">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Entsprechend dem Dokument </w:t>
      </w:r>
      <w:r>
        <w:rPr>
          <w:rFonts w:ascii="Calibri" w:eastAsia="Calibri" w:hAnsi="Calibri" w:cs="Calibri"/>
          <w:b/>
          <w:color w:val="000000"/>
          <w:sz w:val="23"/>
          <w:szCs w:val="23"/>
        </w:rPr>
        <w:t>« Allgemeines Reglement FISD » Abschnitt II, Punkt F</w:t>
      </w:r>
      <w:r>
        <w:rPr>
          <w:rFonts w:ascii="Calibri" w:eastAsia="Calibri" w:hAnsi="Calibri" w:cs="Calibri"/>
          <w:color w:val="000000"/>
          <w:sz w:val="23"/>
          <w:szCs w:val="23"/>
        </w:rPr>
        <w:t xml:space="preserve">. </w:t>
      </w:r>
    </w:p>
    <w:p w14:paraId="68C52EC3"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t xml:space="preserve">16. Sanktionen </w:t>
      </w:r>
    </w:p>
    <w:p w14:paraId="6F9FD078" w14:textId="77777777" w:rsidR="004E3924" w:rsidRDefault="00000000">
      <w:pPr>
        <w:pBdr>
          <w:top w:val="nil"/>
          <w:left w:val="nil"/>
          <w:bottom w:val="nil"/>
          <w:right w:val="nil"/>
          <w:between w:val="nil"/>
        </w:pBdr>
        <w:spacing w:after="120"/>
        <w:jc w:val="both"/>
        <w:rPr>
          <w:rFonts w:ascii="Calibri" w:eastAsia="Calibri" w:hAnsi="Calibri" w:cs="Calibri"/>
          <w:color w:val="000000"/>
          <w:sz w:val="23"/>
          <w:szCs w:val="23"/>
        </w:rPr>
      </w:pPr>
      <w:r>
        <w:rPr>
          <w:rFonts w:ascii="Calibri" w:eastAsia="Calibri" w:hAnsi="Calibri" w:cs="Calibri"/>
          <w:color w:val="000000"/>
          <w:sz w:val="23"/>
          <w:szCs w:val="23"/>
        </w:rPr>
        <w:t>Das Nichteinhalten des vorliegenden Reglements bewirkt den Rennausschluss, dies ohne Möglichkeit von Sondergenehmigungen im Falle eines Rennens der FISD.</w:t>
      </w:r>
    </w:p>
    <w:p w14:paraId="610D7F6E" w14:textId="77777777" w:rsidR="004E3924" w:rsidRDefault="00000000">
      <w:pPr>
        <w:rPr>
          <w:rFonts w:ascii="Calibri" w:eastAsia="Calibri" w:hAnsi="Calibri" w:cs="Calibri"/>
          <w:b/>
          <w:color w:val="000000"/>
          <w:sz w:val="28"/>
          <w:szCs w:val="28"/>
        </w:rPr>
      </w:pPr>
      <w:r>
        <w:br w:type="page"/>
      </w:r>
    </w:p>
    <w:p w14:paraId="5DDE9845" w14:textId="77777777" w:rsidR="004E3924" w:rsidRDefault="00000000">
      <w:pPr>
        <w:pBdr>
          <w:top w:val="nil"/>
          <w:left w:val="nil"/>
          <w:bottom w:val="nil"/>
          <w:right w:val="nil"/>
          <w:between w:val="nil"/>
        </w:pBdr>
        <w:spacing w:before="240" w:after="120"/>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17. Historie - Änderungen </w:t>
      </w:r>
    </w:p>
    <w:p w14:paraId="3F846BD4"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Erste offizielle Ausgabe und Freigabe anlässlich der GV in </w:t>
      </w:r>
      <w:proofErr w:type="spellStart"/>
      <w:r>
        <w:rPr>
          <w:rFonts w:ascii="Calibri" w:eastAsia="Calibri" w:hAnsi="Calibri" w:cs="Calibri"/>
          <w:color w:val="000000"/>
          <w:sz w:val="23"/>
          <w:szCs w:val="23"/>
        </w:rPr>
        <w:t>Anneyron</w:t>
      </w:r>
      <w:proofErr w:type="spellEnd"/>
      <w:r>
        <w:rPr>
          <w:rFonts w:ascii="Calibri" w:eastAsia="Calibri" w:hAnsi="Calibri" w:cs="Calibri"/>
          <w:color w:val="000000"/>
          <w:sz w:val="23"/>
          <w:szCs w:val="23"/>
        </w:rPr>
        <w:t xml:space="preserve"> am 12.11.2010</w:t>
      </w:r>
    </w:p>
    <w:p w14:paraId="562978E9"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Anpassungen und Freigabe anlässlich der GV in </w:t>
      </w:r>
      <w:proofErr w:type="spellStart"/>
      <w:r>
        <w:rPr>
          <w:rFonts w:ascii="Calibri" w:eastAsia="Calibri" w:hAnsi="Calibri" w:cs="Calibri"/>
          <w:color w:val="000000"/>
          <w:sz w:val="23"/>
          <w:szCs w:val="23"/>
        </w:rPr>
        <w:t>Predappio</w:t>
      </w:r>
      <w:proofErr w:type="spellEnd"/>
      <w:r>
        <w:rPr>
          <w:rFonts w:ascii="Calibri" w:eastAsia="Calibri" w:hAnsi="Calibri" w:cs="Calibri"/>
          <w:color w:val="000000"/>
          <w:sz w:val="23"/>
          <w:szCs w:val="23"/>
        </w:rPr>
        <w:t xml:space="preserve"> am 5. November 2011 :</w:t>
      </w:r>
    </w:p>
    <w:p w14:paraId="101054C5"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2: Abmessung der Kugellager.</w:t>
      </w:r>
    </w:p>
    <w:p w14:paraId="5D90C00A"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4: Anpassung an die allgemeinen Bestimmungen.</w:t>
      </w:r>
    </w:p>
    <w:p w14:paraId="15241B7F"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6: Vorgabe des Werkstoffes der Lenkstangen.</w:t>
      </w:r>
    </w:p>
    <w:p w14:paraId="253FA524"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9: Aufhebung der Marken der Reifen.</w:t>
      </w:r>
    </w:p>
    <w:p w14:paraId="15AF0CEE"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10: Definition der Hinterachse.</w:t>
      </w:r>
    </w:p>
    <w:p w14:paraId="778FB86F"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13: Redundanz – Ersatz durch Verweis auf das allgemeine Reglement.</w:t>
      </w:r>
    </w:p>
    <w:p w14:paraId="5FA38072"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15: Redundanz – Ersatz durch Verweis auf das allgemeine Reglement.</w:t>
      </w:r>
    </w:p>
    <w:p w14:paraId="1E8374A6"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Anpassungen und Freigabe anlässlich der GV vom 11. November 2012 in </w:t>
      </w:r>
      <w:proofErr w:type="spellStart"/>
      <w:r>
        <w:rPr>
          <w:rFonts w:ascii="Calibri" w:eastAsia="Calibri" w:hAnsi="Calibri" w:cs="Calibri"/>
          <w:color w:val="000000"/>
          <w:sz w:val="23"/>
          <w:szCs w:val="23"/>
        </w:rPr>
        <w:t>Wittinsburg</w:t>
      </w:r>
      <w:proofErr w:type="spellEnd"/>
      <w:r>
        <w:rPr>
          <w:rFonts w:ascii="Calibri" w:eastAsia="Calibri" w:hAnsi="Calibri" w:cs="Calibri"/>
          <w:color w:val="000000"/>
          <w:sz w:val="23"/>
          <w:szCs w:val="23"/>
        </w:rPr>
        <w:t>:</w:t>
      </w:r>
    </w:p>
    <w:p w14:paraId="341ED8FA"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2: Ausweitung des einsetzbaren Reifenspektrums.</w:t>
      </w:r>
    </w:p>
    <w:p w14:paraId="1E76AC0A"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9: An den Reifen dürfen keine Änderungen mehr vorgenommen werden.</w:t>
      </w:r>
    </w:p>
    <w:p w14:paraId="49B2BE78"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Anpassungen und Freigabe anlässlich der GV vom 7. November 2015 in </w:t>
      </w:r>
      <w:proofErr w:type="spellStart"/>
      <w:r>
        <w:rPr>
          <w:rFonts w:ascii="Calibri" w:eastAsia="Calibri" w:hAnsi="Calibri" w:cs="Calibri"/>
          <w:color w:val="000000"/>
          <w:sz w:val="23"/>
          <w:szCs w:val="23"/>
        </w:rPr>
        <w:t>Stoumont</w:t>
      </w:r>
      <w:proofErr w:type="spellEnd"/>
      <w:r>
        <w:rPr>
          <w:rFonts w:ascii="Calibri" w:eastAsia="Calibri" w:hAnsi="Calibri" w:cs="Calibri"/>
          <w:color w:val="000000"/>
          <w:sz w:val="23"/>
          <w:szCs w:val="23"/>
        </w:rPr>
        <w:t>:</w:t>
      </w:r>
    </w:p>
    <w:p w14:paraId="6941DC54"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 Neue Regelung bezüglich der Kopie von Teilen und deren Herkunft.</w:t>
      </w:r>
    </w:p>
    <w:p w14:paraId="1EAE8172"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2: Nachtrag von Reifendimensionen welche bereits 2012 festgelegt wurden.</w:t>
      </w:r>
    </w:p>
    <w:p w14:paraId="27A8C0B7"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Anpassungen und Freigabe anlässlich der GV vom 13. November 2016 in </w:t>
      </w:r>
      <w:proofErr w:type="spellStart"/>
      <w:r>
        <w:rPr>
          <w:rFonts w:ascii="Calibri" w:eastAsia="Calibri" w:hAnsi="Calibri" w:cs="Calibri"/>
          <w:color w:val="000000"/>
          <w:sz w:val="23"/>
          <w:szCs w:val="23"/>
        </w:rPr>
        <w:t>Viu</w:t>
      </w:r>
      <w:proofErr w:type="spellEnd"/>
      <w:r>
        <w:rPr>
          <w:rFonts w:ascii="Calibri" w:eastAsia="Calibri" w:hAnsi="Calibri" w:cs="Calibri"/>
          <w:color w:val="000000"/>
          <w:sz w:val="23"/>
          <w:szCs w:val="23"/>
        </w:rPr>
        <w:t>:</w:t>
      </w:r>
    </w:p>
    <w:p w14:paraId="0FF5FF34"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8: Kopfstütze.</w:t>
      </w:r>
    </w:p>
    <w:p w14:paraId="6B4C35BF"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13: Einführung eines Rippenschutzes.</w:t>
      </w:r>
    </w:p>
    <w:p w14:paraId="65B6C1A4" w14:textId="77777777" w:rsidR="004E3924"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Anpassungen und Freigabe anlässlich der GV vom 05. November 2017 in On:</w:t>
      </w:r>
    </w:p>
    <w:p w14:paraId="2F2FA817"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4 : Definition wie Ballastgewichte am Sitz zu befestigen sind.</w:t>
      </w:r>
    </w:p>
    <w:p w14:paraId="52504954" w14:textId="77777777" w:rsidR="004E3924" w:rsidRDefault="00000000">
      <w:pPr>
        <w:numPr>
          <w:ilvl w:val="0"/>
          <w:numId w:val="1"/>
        </w:numPr>
        <w:pBdr>
          <w:top w:val="nil"/>
          <w:left w:val="nil"/>
          <w:bottom w:val="nil"/>
          <w:right w:val="nil"/>
          <w:between w:val="nil"/>
        </w:pBdr>
        <w:spacing w:after="37"/>
        <w:rPr>
          <w:rFonts w:ascii="Calibri" w:eastAsia="Calibri" w:hAnsi="Calibri" w:cs="Calibri"/>
          <w:color w:val="000000"/>
          <w:sz w:val="23"/>
          <w:szCs w:val="23"/>
        </w:rPr>
      </w:pPr>
      <w:r>
        <w:rPr>
          <w:rFonts w:ascii="Calibri" w:eastAsia="Calibri" w:hAnsi="Calibri" w:cs="Calibri"/>
          <w:color w:val="000000"/>
          <w:sz w:val="23"/>
          <w:szCs w:val="23"/>
        </w:rPr>
        <w:t>Punkt 13 : Präzisierung in der Definition des Fahrgestellbodens.</w:t>
      </w:r>
    </w:p>
    <w:p w14:paraId="6D1A0696" w14:textId="77777777" w:rsidR="004E3924" w:rsidRPr="009464F5" w:rsidRDefault="00000000">
      <w:pPr>
        <w:pBdr>
          <w:top w:val="nil"/>
          <w:left w:val="nil"/>
          <w:bottom w:val="nil"/>
          <w:right w:val="nil"/>
          <w:between w:val="nil"/>
        </w:pBdr>
        <w:rPr>
          <w:rFonts w:ascii="Calibri" w:eastAsia="Calibri" w:hAnsi="Calibri" w:cs="Calibri"/>
          <w:sz w:val="23"/>
          <w:szCs w:val="23"/>
        </w:rPr>
      </w:pPr>
      <w:r w:rsidRPr="009464F5">
        <w:rPr>
          <w:rFonts w:ascii="Calibri" w:eastAsia="Calibri" w:hAnsi="Calibri" w:cs="Calibri"/>
          <w:sz w:val="23"/>
          <w:szCs w:val="23"/>
        </w:rPr>
        <w:t xml:space="preserve">Anpassungen und Freigabe 2022: </w:t>
      </w:r>
    </w:p>
    <w:p w14:paraId="307FFBE6" w14:textId="740E0FE2" w:rsidR="009464F5" w:rsidRPr="009464F5" w:rsidRDefault="00000000" w:rsidP="009464F5">
      <w:pPr>
        <w:numPr>
          <w:ilvl w:val="0"/>
          <w:numId w:val="2"/>
        </w:numPr>
        <w:pBdr>
          <w:top w:val="nil"/>
          <w:left w:val="nil"/>
          <w:bottom w:val="nil"/>
          <w:right w:val="nil"/>
          <w:between w:val="nil"/>
        </w:pBdr>
        <w:spacing w:after="35"/>
        <w:rPr>
          <w:rFonts w:ascii="Calibri" w:eastAsia="Calibri" w:hAnsi="Calibri" w:cs="Calibri"/>
          <w:sz w:val="23"/>
          <w:szCs w:val="23"/>
        </w:rPr>
      </w:pPr>
      <w:r w:rsidRPr="009464F5">
        <w:rPr>
          <w:rFonts w:ascii="Calibri" w:eastAsia="Calibri" w:hAnsi="Calibri" w:cs="Calibri"/>
          <w:sz w:val="23"/>
          <w:szCs w:val="23"/>
        </w:rPr>
        <w:t>Punkt 5: Mindeststärke der Bodenplatte aus magnetischem Stahl 1,5 mm.</w:t>
      </w:r>
    </w:p>
    <w:p w14:paraId="78231331" w14:textId="7644B1FE" w:rsidR="009464F5" w:rsidRPr="009464F5" w:rsidRDefault="009464F5" w:rsidP="009464F5">
      <w:pPr>
        <w:pBdr>
          <w:top w:val="nil"/>
          <w:left w:val="nil"/>
          <w:bottom w:val="nil"/>
          <w:right w:val="nil"/>
          <w:between w:val="nil"/>
        </w:pBdr>
        <w:spacing w:after="35"/>
        <w:rPr>
          <w:rFonts w:ascii="Calibri" w:eastAsia="Calibri" w:hAnsi="Calibri" w:cs="Calibri"/>
          <w:color w:val="FF0000"/>
          <w:sz w:val="23"/>
          <w:szCs w:val="23"/>
        </w:rPr>
      </w:pPr>
      <w:r>
        <w:rPr>
          <w:rFonts w:ascii="Calibri" w:eastAsia="Calibri" w:hAnsi="Calibri" w:cs="Calibri"/>
          <w:color w:val="FF0000"/>
          <w:sz w:val="23"/>
          <w:szCs w:val="23"/>
        </w:rPr>
        <w:t>Anpassungen</w:t>
      </w:r>
      <w:r w:rsidRPr="009464F5">
        <w:rPr>
          <w:rFonts w:ascii="Calibri" w:eastAsia="Calibri" w:hAnsi="Calibri" w:cs="Calibri"/>
          <w:color w:val="FF0000"/>
          <w:sz w:val="23"/>
          <w:szCs w:val="23"/>
        </w:rPr>
        <w:t xml:space="preserve"> </w:t>
      </w:r>
      <w:r w:rsidRPr="009464F5">
        <w:rPr>
          <w:rFonts w:ascii="Calibri" w:eastAsia="Calibri" w:hAnsi="Calibri" w:cs="Calibri"/>
          <w:color w:val="FF0000"/>
          <w:sz w:val="23"/>
          <w:szCs w:val="23"/>
        </w:rPr>
        <w:t>Geschäftsstellensitzung am 04.11.2024 beschlossene Änderungen:</w:t>
      </w:r>
    </w:p>
    <w:p w14:paraId="74A4496A" w14:textId="020905A6" w:rsidR="009464F5" w:rsidRPr="009464F5" w:rsidRDefault="009464F5" w:rsidP="009464F5">
      <w:pPr>
        <w:numPr>
          <w:ilvl w:val="0"/>
          <w:numId w:val="2"/>
        </w:numPr>
        <w:pBdr>
          <w:top w:val="nil"/>
          <w:left w:val="nil"/>
          <w:bottom w:val="nil"/>
          <w:right w:val="nil"/>
          <w:between w:val="nil"/>
        </w:pBdr>
        <w:spacing w:after="35"/>
        <w:rPr>
          <w:rFonts w:ascii="Calibri" w:eastAsia="Calibri" w:hAnsi="Calibri" w:cs="Calibri"/>
          <w:color w:val="FF0000"/>
          <w:sz w:val="23"/>
          <w:szCs w:val="23"/>
        </w:rPr>
      </w:pPr>
      <w:r>
        <w:rPr>
          <w:rFonts w:ascii="Calibri" w:eastAsia="Calibri" w:hAnsi="Calibri" w:cs="Calibri"/>
          <w:color w:val="FF0000"/>
          <w:sz w:val="23"/>
          <w:szCs w:val="23"/>
        </w:rPr>
        <w:t>P</w:t>
      </w:r>
      <w:r w:rsidRPr="009464F5">
        <w:rPr>
          <w:rFonts w:ascii="Calibri" w:eastAsia="Calibri" w:hAnsi="Calibri" w:cs="Calibri"/>
          <w:color w:val="FF0000"/>
          <w:sz w:val="23"/>
          <w:szCs w:val="23"/>
        </w:rPr>
        <w:t>unkt 4: Präzisierung des Ballastes</w:t>
      </w:r>
    </w:p>
    <w:p w14:paraId="1EAC7A6A" w14:textId="3F5D62DD" w:rsidR="009464F5" w:rsidRDefault="009464F5" w:rsidP="009464F5">
      <w:pPr>
        <w:numPr>
          <w:ilvl w:val="0"/>
          <w:numId w:val="2"/>
        </w:numPr>
        <w:pBdr>
          <w:top w:val="nil"/>
          <w:left w:val="nil"/>
          <w:bottom w:val="nil"/>
          <w:right w:val="nil"/>
          <w:between w:val="nil"/>
        </w:pBdr>
        <w:spacing w:after="35"/>
        <w:rPr>
          <w:rFonts w:ascii="Calibri" w:eastAsia="Calibri" w:hAnsi="Calibri" w:cs="Calibri"/>
          <w:color w:val="FF0000"/>
          <w:sz w:val="23"/>
          <w:szCs w:val="23"/>
        </w:rPr>
      </w:pPr>
      <w:r>
        <w:rPr>
          <w:rFonts w:ascii="Calibri" w:eastAsia="Calibri" w:hAnsi="Calibri" w:cs="Calibri"/>
          <w:color w:val="FF0000"/>
          <w:sz w:val="23"/>
          <w:szCs w:val="23"/>
        </w:rPr>
        <w:t>P</w:t>
      </w:r>
      <w:r w:rsidRPr="009464F5">
        <w:rPr>
          <w:rFonts w:ascii="Calibri" w:eastAsia="Calibri" w:hAnsi="Calibri" w:cs="Calibri"/>
          <w:color w:val="FF0000"/>
          <w:sz w:val="23"/>
          <w:szCs w:val="23"/>
        </w:rPr>
        <w:t>unkt 5: Stahlgrundplatte Dicke 1,5 mm.</w:t>
      </w:r>
    </w:p>
    <w:p w14:paraId="1282832E" w14:textId="77777777" w:rsidR="004E3924" w:rsidRDefault="004E3924">
      <w:pPr>
        <w:rPr>
          <w:rFonts w:ascii="Calibri" w:eastAsia="Calibri" w:hAnsi="Calibri" w:cs="Calibri"/>
        </w:rPr>
      </w:pPr>
    </w:p>
    <w:sectPr w:rsidR="004E3924">
      <w:headerReference w:type="default" r:id="rId15"/>
      <w:footerReference w:type="default" r:id="rId16"/>
      <w:pgSz w:w="11906" w:h="16838"/>
      <w:pgMar w:top="1418" w:right="1418" w:bottom="1134"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1A522" w14:textId="77777777" w:rsidR="00A90D40" w:rsidRDefault="00A90D40">
      <w:r>
        <w:separator/>
      </w:r>
    </w:p>
  </w:endnote>
  <w:endnote w:type="continuationSeparator" w:id="0">
    <w:p w14:paraId="7BAF32D2" w14:textId="77777777" w:rsidR="00A90D40" w:rsidRDefault="00A90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F5B0F8-F3F9-4FD9-818F-ABE3BFE117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A63416F-73C7-4665-AACB-4474DE9E3384}"/>
    <w:embedBold r:id="rId3" w:fontKey="{C713CC89-D5B2-4CA0-92A0-93A3D4042742}"/>
    <w:embedItalic r:id="rId4" w:fontKey="{2B1FDD79-2375-442A-9455-C587CED65D81}"/>
  </w:font>
  <w:font w:name="Segoe UI">
    <w:panose1 w:val="020B0502040204020203"/>
    <w:charset w:val="00"/>
    <w:family w:val="swiss"/>
    <w:pitch w:val="variable"/>
    <w:sig w:usb0="E4002EFF" w:usb1="C000E47F" w:usb2="00000009" w:usb3="00000000" w:csb0="000001FF" w:csb1="00000000"/>
    <w:embedRegular r:id="rId5" w:fontKey="{E9A9B906-32BA-4D92-A592-4BDED6ECD116}"/>
  </w:font>
  <w:font w:name="Georgia">
    <w:panose1 w:val="02040502050405020303"/>
    <w:charset w:val="00"/>
    <w:family w:val="roman"/>
    <w:pitch w:val="variable"/>
    <w:sig w:usb0="00000287" w:usb1="00000000" w:usb2="00000000" w:usb3="00000000" w:csb0="0000009F" w:csb1="00000000"/>
    <w:embedRegular r:id="rId6" w:fontKey="{380F7E0C-FB08-466F-89DD-C5D36C38D874}"/>
    <w:embedItalic r:id="rId7" w:fontKey="{AC89A188-A6A8-4F83-A462-8A28FBE54AE8}"/>
  </w:font>
  <w:font w:name="Cambria">
    <w:panose1 w:val="02040503050406030204"/>
    <w:charset w:val="00"/>
    <w:family w:val="roman"/>
    <w:pitch w:val="variable"/>
    <w:sig w:usb0="E00006FF" w:usb1="420024FF" w:usb2="02000000" w:usb3="00000000" w:csb0="0000019F" w:csb1="00000000"/>
    <w:embedRegular r:id="rId8" w:fontKey="{7B7B53F9-5E4D-4E83-9853-F371F2047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E60F" w14:textId="02CCA98A" w:rsidR="004E3924" w:rsidRDefault="00000000">
    <w:pPr>
      <w:pBdr>
        <w:top w:val="single" w:sz="4" w:space="1" w:color="000000"/>
        <w:left w:val="nil"/>
        <w:bottom w:val="nil"/>
        <w:right w:val="nil"/>
        <w:between w:val="nil"/>
      </w:pBdr>
      <w:tabs>
        <w:tab w:val="center" w:pos="4536"/>
        <w:tab w:val="right" w:pos="9072"/>
      </w:tabs>
      <w:rPr>
        <w:rFonts w:ascii="Calibri" w:eastAsia="Calibri" w:hAnsi="Calibri" w:cs="Calibri"/>
        <w:color w:val="000000"/>
        <w:sz w:val="20"/>
        <w:szCs w:val="20"/>
      </w:rPr>
    </w:pPr>
    <w:r>
      <w:rPr>
        <w:rFonts w:ascii="Calibri" w:eastAsia="Calibri" w:hAnsi="Calibri" w:cs="Calibri"/>
        <w:color w:val="000000"/>
        <w:sz w:val="20"/>
        <w:szCs w:val="20"/>
      </w:rPr>
      <w:tab/>
      <w:t xml:space="preserve">Seite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9464F5">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rFonts w:ascii="Calibri" w:eastAsia="Calibri" w:hAnsi="Calibri" w:cs="Calibri"/>
        <w:color w:val="000000"/>
        <w:sz w:val="20"/>
        <w:szCs w:val="20"/>
      </w:rPr>
      <w:t xml:space="preserve"> von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sidR="009464F5">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rFonts w:ascii="Calibri" w:eastAsia="Calibri" w:hAnsi="Calibri" w:cs="Calibri"/>
        <w:color w:val="000000"/>
        <w:sz w:val="23"/>
        <w:szCs w:val="23"/>
      </w:rPr>
      <w:tab/>
    </w:r>
    <w:r>
      <w:rPr>
        <w:rFonts w:ascii="Calibri" w:eastAsia="Calibri" w:hAnsi="Calibri" w:cs="Calibri"/>
        <w:color w:val="000000"/>
        <w:sz w:val="20"/>
        <w:szCs w:val="20"/>
      </w:rPr>
      <w:t>Revision 202</w:t>
    </w:r>
    <w:r w:rsidR="009464F5">
      <w:rPr>
        <w:rFonts w:ascii="Calibri" w:eastAsia="Calibri" w:hAnsi="Calibri" w:cs="Calibri"/>
        <w:color w:val="000000"/>
        <w:sz w:val="20"/>
        <w:szCs w:val="20"/>
      </w:rPr>
      <w:t>5</w:t>
    </w:r>
  </w:p>
  <w:p w14:paraId="78DEAF9A" w14:textId="77777777" w:rsidR="004E3924" w:rsidRDefault="004E3924">
    <w:pPr>
      <w:pBdr>
        <w:top w:val="single" w:sz="4" w:space="1" w:color="000000"/>
        <w:left w:val="nil"/>
        <w:bottom w:val="nil"/>
        <w:right w:val="nil"/>
        <w:between w:val="nil"/>
      </w:pBdr>
      <w:tabs>
        <w:tab w:val="center" w:pos="4536"/>
        <w:tab w:val="right" w:pos="9072"/>
      </w:tabs>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C3B0C" w14:textId="77777777" w:rsidR="00A90D40" w:rsidRDefault="00A90D40">
      <w:r>
        <w:separator/>
      </w:r>
    </w:p>
  </w:footnote>
  <w:footnote w:type="continuationSeparator" w:id="0">
    <w:p w14:paraId="11658E3D" w14:textId="77777777" w:rsidR="00A90D40" w:rsidRDefault="00A90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E697" w14:textId="77777777" w:rsidR="004E3924" w:rsidRDefault="00000000">
    <w:pPr>
      <w:pBdr>
        <w:top w:val="nil"/>
        <w:left w:val="nil"/>
        <w:bottom w:val="nil"/>
        <w:right w:val="nil"/>
        <w:between w:val="nil"/>
      </w:pBdr>
      <w:tabs>
        <w:tab w:val="center" w:pos="4536"/>
        <w:tab w:val="right" w:pos="9072"/>
      </w:tabs>
      <w:spacing w:after="120"/>
      <w:rPr>
        <w:rFonts w:ascii="Calibri" w:eastAsia="Calibri" w:hAnsi="Calibri" w:cs="Calibri"/>
        <w:i/>
        <w:color w:val="000000"/>
        <w:sz w:val="32"/>
        <w:szCs w:val="32"/>
      </w:rPr>
    </w:pPr>
    <w:r>
      <w:rPr>
        <w:rFonts w:ascii="Calibri" w:eastAsia="Calibri" w:hAnsi="Calibri" w:cs="Calibri"/>
        <w:i/>
        <w:color w:val="000000"/>
        <w:sz w:val="32"/>
        <w:szCs w:val="32"/>
      </w:rPr>
      <w:t xml:space="preserve">Wagenbaureglement C8 – </w:t>
    </w:r>
    <w:proofErr w:type="spellStart"/>
    <w:r>
      <w:rPr>
        <w:rFonts w:ascii="Calibri" w:eastAsia="Calibri" w:hAnsi="Calibri" w:cs="Calibri"/>
        <w:i/>
        <w:color w:val="000000"/>
        <w:sz w:val="32"/>
        <w:szCs w:val="32"/>
      </w:rPr>
      <w:t>Kart</w:t>
    </w:r>
    <w:proofErr w:type="spellEnd"/>
    <w:r>
      <w:rPr>
        <w:noProof/>
      </w:rPr>
      <w:drawing>
        <wp:anchor distT="0" distB="0" distL="114300" distR="114300" simplePos="0" relativeHeight="251658240" behindDoc="0" locked="0" layoutInCell="1" hidden="0" allowOverlap="1" wp14:anchorId="6D4FF66C" wp14:editId="2FAD73F6">
          <wp:simplePos x="0" y="0"/>
          <wp:positionH relativeFrom="column">
            <wp:posOffset>4938395</wp:posOffset>
          </wp:positionH>
          <wp:positionV relativeFrom="paragraph">
            <wp:posOffset>-133349</wp:posOffset>
          </wp:positionV>
          <wp:extent cx="1077595" cy="1077595"/>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7595" cy="1077595"/>
                  </a:xfrm>
                  <a:prstGeom prst="rect">
                    <a:avLst/>
                  </a:prstGeom>
                  <a:ln/>
                </pic:spPr>
              </pic:pic>
            </a:graphicData>
          </a:graphic>
        </wp:anchor>
      </w:drawing>
    </w:r>
  </w:p>
  <w:p w14:paraId="75250E9C" w14:textId="77777777" w:rsidR="004E3924" w:rsidRDefault="00000000">
    <w:pPr>
      <w:pBdr>
        <w:top w:val="nil"/>
        <w:left w:val="nil"/>
        <w:bottom w:val="nil"/>
        <w:right w:val="nil"/>
        <w:between w:val="nil"/>
      </w:pBdr>
      <w:tabs>
        <w:tab w:val="center" w:pos="4536"/>
        <w:tab w:val="right" w:pos="9072"/>
      </w:tabs>
      <w:spacing w:after="120"/>
      <w:jc w:val="center"/>
      <w:rPr>
        <w:rFonts w:ascii="Calibri" w:eastAsia="Calibri" w:hAnsi="Calibri" w:cs="Calibri"/>
        <w:i/>
        <w:color w:val="000000"/>
        <w:sz w:val="32"/>
        <w:szCs w:val="32"/>
      </w:rPr>
    </w:pPr>
    <w:r>
      <w:rPr>
        <w:rFonts w:ascii="Calibri" w:eastAsia="Calibri" w:hAnsi="Calibri" w:cs="Calibri"/>
        <w:i/>
        <w:color w:val="000000"/>
        <w:sz w:val="32"/>
        <w:szCs w:val="32"/>
      </w:rPr>
      <w:t xml:space="preserve">Fédération Internationale </w:t>
    </w:r>
    <w:proofErr w:type="spellStart"/>
    <w:r>
      <w:rPr>
        <w:rFonts w:ascii="Calibri" w:eastAsia="Calibri" w:hAnsi="Calibri" w:cs="Calibri"/>
        <w:i/>
        <w:color w:val="000000"/>
        <w:sz w:val="32"/>
        <w:szCs w:val="32"/>
      </w:rPr>
      <w:t>Speeddown</w:t>
    </w:r>
    <w:proofErr w:type="spellEnd"/>
    <w:r>
      <w:rPr>
        <w:rFonts w:ascii="Calibri" w:eastAsia="Calibri" w:hAnsi="Calibri" w:cs="Calibri"/>
        <w:i/>
        <w:color w:val="000000"/>
        <w:sz w:val="32"/>
        <w:szCs w:val="32"/>
      </w:rPr>
      <w:t xml:space="preserve"> </w:t>
    </w:r>
  </w:p>
  <w:p w14:paraId="29AE7C1F" w14:textId="77777777" w:rsidR="004E3924" w:rsidRDefault="004E3924">
    <w:pPr>
      <w:pBdr>
        <w:top w:val="nil"/>
        <w:left w:val="nil"/>
        <w:bottom w:val="nil"/>
        <w:right w:val="nil"/>
        <w:between w:val="nil"/>
      </w:pBdr>
      <w:tabs>
        <w:tab w:val="center" w:pos="4536"/>
        <w:tab w:val="right" w:pos="9072"/>
      </w:tabs>
      <w:jc w:val="center"/>
      <w:rPr>
        <w:rFonts w:ascii="Calibri" w:eastAsia="Calibri" w:hAnsi="Calibri" w:cs="Calibri"/>
        <w:color w:val="000000"/>
      </w:rPr>
    </w:pPr>
  </w:p>
  <w:p w14:paraId="25DC7812" w14:textId="77777777" w:rsidR="004E3924" w:rsidRDefault="004E3924">
    <w:pPr>
      <w:pBdr>
        <w:top w:val="nil"/>
        <w:left w:val="nil"/>
        <w:bottom w:val="single" w:sz="4" w:space="1" w:color="000000"/>
        <w:right w:val="nil"/>
        <w:between w:val="nil"/>
      </w:pBdr>
      <w:tabs>
        <w:tab w:val="center" w:pos="4536"/>
        <w:tab w:val="right" w:pos="9072"/>
      </w:tabs>
      <w:jc w:val="center"/>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05923"/>
    <w:multiLevelType w:val="multilevel"/>
    <w:tmpl w:val="D81C6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1D0204"/>
    <w:multiLevelType w:val="multilevel"/>
    <w:tmpl w:val="DF28B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8090030">
    <w:abstractNumId w:val="0"/>
  </w:num>
  <w:num w:numId="2" w16cid:durableId="292910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24"/>
    <w:rsid w:val="004E3924"/>
    <w:rsid w:val="006612EC"/>
    <w:rsid w:val="009464F5"/>
    <w:rsid w:val="00A90D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86DC"/>
  <w15:docId w15:val="{BB01134F-F851-4334-94BF-F1CD53F4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MacroText">
    <w:name w:val="macro"/>
    <w:semiHidden/>
    <w:pPr>
      <w:tabs>
        <w:tab w:val="left" w:pos="284"/>
        <w:tab w:val="left" w:pos="567"/>
        <w:tab w:val="left" w:pos="851"/>
        <w:tab w:val="left" w:pos="1134"/>
        <w:tab w:val="left" w:pos="1418"/>
        <w:tab w:val="left" w:pos="1701"/>
        <w:tab w:val="left" w:pos="1985"/>
        <w:tab w:val="left" w:pos="2268"/>
        <w:tab w:val="left" w:pos="2552"/>
        <w:tab w:val="left" w:pos="2835"/>
      </w:tabs>
    </w:pPr>
    <w:rPr>
      <w:rFonts w:ascii="Courier New" w:hAnsi="Courier New"/>
      <w:sz w:val="16"/>
    </w:rPr>
  </w:style>
  <w:style w:type="paragraph" w:customStyle="1" w:styleId="Default">
    <w:name w:val="Default"/>
    <w:rsid w:val="00F94EA3"/>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F94EA3"/>
    <w:pPr>
      <w:tabs>
        <w:tab w:val="center" w:pos="4536"/>
        <w:tab w:val="right" w:pos="9072"/>
      </w:tabs>
    </w:pPr>
  </w:style>
  <w:style w:type="character" w:customStyle="1" w:styleId="HeaderChar">
    <w:name w:val="Header Char"/>
    <w:basedOn w:val="DefaultParagraphFont"/>
    <w:link w:val="Header"/>
    <w:uiPriority w:val="99"/>
    <w:rsid w:val="00F94EA3"/>
    <w:rPr>
      <w:sz w:val="24"/>
    </w:rPr>
  </w:style>
  <w:style w:type="paragraph" w:styleId="Footer">
    <w:name w:val="footer"/>
    <w:basedOn w:val="Normal"/>
    <w:link w:val="FooterChar"/>
    <w:uiPriority w:val="99"/>
    <w:unhideWhenUsed/>
    <w:rsid w:val="00F94EA3"/>
    <w:pPr>
      <w:tabs>
        <w:tab w:val="center" w:pos="4536"/>
        <w:tab w:val="right" w:pos="9072"/>
      </w:tabs>
    </w:pPr>
  </w:style>
  <w:style w:type="character" w:customStyle="1" w:styleId="FooterChar">
    <w:name w:val="Footer Char"/>
    <w:basedOn w:val="DefaultParagraphFont"/>
    <w:link w:val="Footer"/>
    <w:uiPriority w:val="99"/>
    <w:rsid w:val="00F94EA3"/>
    <w:rPr>
      <w:sz w:val="24"/>
    </w:rPr>
  </w:style>
  <w:style w:type="character" w:styleId="CommentReference">
    <w:name w:val="annotation reference"/>
    <w:basedOn w:val="DefaultParagraphFont"/>
    <w:semiHidden/>
    <w:unhideWhenUsed/>
    <w:rsid w:val="0043036F"/>
    <w:rPr>
      <w:sz w:val="16"/>
      <w:szCs w:val="16"/>
    </w:rPr>
  </w:style>
  <w:style w:type="paragraph" w:styleId="CommentText">
    <w:name w:val="annotation text"/>
    <w:basedOn w:val="Normal"/>
    <w:link w:val="CommentTextChar"/>
    <w:semiHidden/>
    <w:unhideWhenUsed/>
    <w:rsid w:val="0043036F"/>
    <w:rPr>
      <w:sz w:val="20"/>
    </w:rPr>
  </w:style>
  <w:style w:type="character" w:customStyle="1" w:styleId="CommentTextChar">
    <w:name w:val="Comment Text Char"/>
    <w:basedOn w:val="DefaultParagraphFont"/>
    <w:link w:val="CommentText"/>
    <w:semiHidden/>
    <w:rsid w:val="0043036F"/>
  </w:style>
  <w:style w:type="paragraph" w:styleId="CommentSubject">
    <w:name w:val="annotation subject"/>
    <w:basedOn w:val="CommentText"/>
    <w:next w:val="CommentText"/>
    <w:link w:val="CommentSubjectChar"/>
    <w:semiHidden/>
    <w:unhideWhenUsed/>
    <w:rsid w:val="0043036F"/>
    <w:rPr>
      <w:b/>
      <w:bCs/>
    </w:rPr>
  </w:style>
  <w:style w:type="character" w:customStyle="1" w:styleId="CommentSubjectChar">
    <w:name w:val="Comment Subject Char"/>
    <w:basedOn w:val="CommentTextChar"/>
    <w:link w:val="CommentSubject"/>
    <w:semiHidden/>
    <w:rsid w:val="0043036F"/>
    <w:rPr>
      <w:b/>
      <w:bCs/>
    </w:rPr>
  </w:style>
  <w:style w:type="paragraph" w:styleId="BalloonText">
    <w:name w:val="Balloon Text"/>
    <w:basedOn w:val="Normal"/>
    <w:link w:val="BalloonTextChar"/>
    <w:semiHidden/>
    <w:unhideWhenUsed/>
    <w:rsid w:val="0043036F"/>
    <w:rPr>
      <w:rFonts w:ascii="Segoe UI" w:hAnsi="Segoe UI" w:cs="Segoe UI"/>
      <w:sz w:val="18"/>
      <w:szCs w:val="18"/>
    </w:rPr>
  </w:style>
  <w:style w:type="character" w:customStyle="1" w:styleId="BalloonTextChar">
    <w:name w:val="Balloon Text Char"/>
    <w:basedOn w:val="DefaultParagraphFont"/>
    <w:link w:val="BalloonText"/>
    <w:semiHidden/>
    <w:rsid w:val="0043036F"/>
    <w:rPr>
      <w:rFonts w:ascii="Segoe UI" w:hAnsi="Segoe UI" w:cs="Segoe UI"/>
      <w:sz w:val="18"/>
      <w:szCs w:val="18"/>
    </w:rPr>
  </w:style>
  <w:style w:type="character" w:customStyle="1" w:styleId="rynqvb">
    <w:name w:val="rynqvb"/>
    <w:basedOn w:val="DefaultParagraphFont"/>
    <w:rsid w:val="00D944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6oOT8TXnaBlohsT8Eu5KiaWenw==">AMUW2mVVzlM+VW2Snbbujn3CuHiqxGBDGdovMCZv3kRcXE4OSEY8CS/Z7/5VFKiR0iFWi8jG3ze56b9tWseKUgg9s8e8mj/TCRPQpDtPv83qS9E0RKTlTE8=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1357</Words>
  <Characters>7466</Characters>
  <Application>Microsoft Office Word</Application>
  <DocSecurity>0</DocSecurity>
  <Lines>62</Lines>
  <Paragraphs>17</Paragraphs>
  <ScaleCrop>false</ScaleCrop>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Hauenstein, Matthias</dc:creator>
  <cp:lastModifiedBy>David Tack</cp:lastModifiedBy>
  <cp:revision>2</cp:revision>
  <dcterms:created xsi:type="dcterms:W3CDTF">2025-04-21T07:28:00Z</dcterms:created>
  <dcterms:modified xsi:type="dcterms:W3CDTF">2025-04-21T07:28:00Z</dcterms:modified>
</cp:coreProperties>
</file>